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14:paraId="7D0F8183">
        <w:tblPrEx>
          <w:tblCellMar>
            <w:top w:w="0" w:type="dxa"/>
            <w:left w:w="0" w:type="dxa"/>
            <w:bottom w:w="0" w:type="dxa"/>
            <w:right w:w="0" w:type="dxa"/>
          </w:tblCellMar>
        </w:tblPrEx>
        <w:tc>
          <w:tcPr>
            <w:tcW w:w="509" w:type="dxa"/>
          </w:tcPr>
          <w:p w14:paraId="5DE20DC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436956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3AE56279">
        <w:tblPrEx>
          <w:tblCellMar>
            <w:top w:w="0" w:type="dxa"/>
            <w:left w:w="0" w:type="dxa"/>
            <w:bottom w:w="0" w:type="dxa"/>
            <w:right w:w="0" w:type="dxa"/>
          </w:tblCellMar>
        </w:tblPrEx>
        <w:tc>
          <w:tcPr>
            <w:tcW w:w="509" w:type="dxa"/>
          </w:tcPr>
          <w:p w14:paraId="56E875A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EF6534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p w14:paraId="0CFF7EB9">
      <w:pPr>
        <w:rPr>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4E955FB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40AD2C9D">
            <w:pPr>
              <w:pStyle w:val="51"/>
              <w:framePr w:w="0" w:hRule="auto" w:wrap="auto" w:vAnchor="margin" w:hAnchor="text" w:xAlign="left" w:yAlign="inline"/>
              <w:rPr>
                <w:rFonts w:hint="eastAsia" w:ascii="宋体" w:hAnsi="宋体"/>
                <w:sz w:val="28"/>
                <w:szCs w:val="28"/>
              </w:rPr>
            </w:pPr>
            <w:r>
              <w:drawing>
                <wp:inline distT="0" distB="0" distL="0" distR="0">
                  <wp:extent cx="796925" cy="39497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96925" cy="394970"/>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53860A22">
      <w:pPr>
        <w:pStyle w:val="52"/>
        <w:framePr w:w="9639" w:h="624" w:hRule="exact" w:hSpace="181" w:vSpace="181" w:wrap="around" w:vAnchor="text"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83F9098">
      <w:pPr>
        <w:pStyle w:val="195"/>
        <w:framePr w:wrap="around"/>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14/T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w:t>
      </w:r>
      <w:r>
        <w:rPr>
          <w:rFonts w:hint="eastAsia"/>
        </w:rPr>
        <w:t>3</w:t>
      </w:r>
      <w:r>
        <w:fldChar w:fldCharType="end"/>
      </w:r>
      <w:bookmarkEnd w:id="7"/>
    </w:p>
    <w:p w14:paraId="199AF3AF">
      <w:pPr>
        <w:pStyle w:val="196"/>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883399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3+I8zYAAAA&#10;DAEAAA8AAAAAAAAAAQAgAAAAIgAAAGRycy9kb3ducmV2LnhtbFBLAQIUABQAAAAIAIdO4kD8zsUq&#10;5AEAAKsDAAAOAAAAAAAAAAEAIAAAACcBAABkcnMvZTJvRG9jLnhtbFBLBQYAAAAABgAGAFkBAAB9&#10;BQAAAAA=&#10;">
                <v:fill on="f" focussize="0,0"/>
                <v:stroke color="#000000" joinstyle="round"/>
                <v:imagedata o:title=""/>
                <o:lock v:ext="edit" aspectratio="f"/>
              </v:line>
            </w:pict>
          </mc:Fallback>
        </mc:AlternateContent>
      </w:r>
    </w:p>
    <w:p w14:paraId="0D455ED4">
      <w:pPr>
        <w:pStyle w:val="52"/>
        <w:framePr w:w="9639" w:h="6976" w:hRule="exact" w:hSpace="0" w:vSpace="0" w:wrap="around" w:vAnchor="text" w:hAnchor="page" w:y="6408"/>
        <w:jc w:val="center"/>
        <w:rPr>
          <w:rFonts w:hint="eastAsia" w:ascii="黑体" w:hAnsi="黑体" w:eastAsia="黑体"/>
          <w:b w:val="0"/>
          <w:bCs w:val="0"/>
          <w:w w:val="100"/>
        </w:rPr>
      </w:pPr>
    </w:p>
    <w:p w14:paraId="39539FFE">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甜瓜旱作栽培技术规程</w:t>
      </w:r>
      <w:r>
        <w:fldChar w:fldCharType="end"/>
      </w:r>
      <w:bookmarkEnd w:id="9"/>
    </w:p>
    <w:p w14:paraId="582D96DC">
      <w:pPr>
        <w:framePr w:w="9639" w:h="6974" w:hRule="exact" w:wrap="around" w:vAnchor="page" w:hAnchor="page" w:x="1419" w:y="6408" w:anchorLock="1"/>
        <w:ind w:left="-1418"/>
      </w:pPr>
    </w:p>
    <w:p w14:paraId="6801499D">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1472081F">
      <w:pPr>
        <w:framePr w:w="9639" w:h="6974" w:hRule="exact" w:wrap="around" w:vAnchor="page" w:hAnchor="page" w:x="1419" w:y="6408" w:anchorLock="1"/>
        <w:spacing w:line="760" w:lineRule="exact"/>
        <w:ind w:left="-1418"/>
      </w:pPr>
    </w:p>
    <w:p w14:paraId="75AE38F1">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14:paraId="37CB71C8">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12D8E5C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25F451F2">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28F88968">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61BC221C">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09758961">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C06EF4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W9Oey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TZN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VvTnsuMB&#10;AACqAwAADgAAAAAAAAABACAAAAAmAQAAZHJzL2Uyb0RvYy54bWxQSwUGAAAAAAYABgBZAQAAewUA&#10;AAAA&#10;">
                <v:fill on="f" focussize="0,0"/>
                <v:stroke color="#000000" joinstyle="round"/>
                <v:imagedata o:title=""/>
                <o:lock v:ext="edit" aspectratio="f"/>
                <w10:anchorlock/>
              </v:line>
            </w:pict>
          </mc:Fallback>
        </mc:AlternateContent>
      </w:r>
    </w:p>
    <w:p w14:paraId="6C62189F">
      <w:pPr>
        <w:pStyle w:val="93"/>
        <w:spacing w:after="468"/>
      </w:pPr>
      <w:bookmarkStart w:id="22" w:name="BookMark1"/>
      <w:r>
        <w:rPr>
          <w:rFonts w:hint="eastAsia"/>
          <w:spacing w:val="320"/>
        </w:rPr>
        <w:t>目</w:t>
      </w:r>
      <w:r>
        <w:rPr>
          <w:rFonts w:hint="eastAsia"/>
        </w:rPr>
        <w:t>次</w:t>
      </w:r>
    </w:p>
    <w:p w14:paraId="0A577171">
      <w:pPr>
        <w:pStyle w:val="19"/>
        <w:tabs>
          <w:tab w:val="right" w:leader="dot" w:pos="9344"/>
        </w:tabs>
        <w:rPr>
          <w:rFonts w:hint="eastAsia" w:ascii="等线" w:hAnsi="等线" w:eastAsia="等线"/>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"_Toc59703498" </w:instrText>
      </w:r>
      <w:r>
        <w:fldChar w:fldCharType="separate"/>
      </w:r>
      <w:r>
        <w:rPr>
          <w:rFonts w:hint="eastAsia"/>
        </w:rPr>
        <w:t>前</w:t>
      </w:r>
      <w:r>
        <w:rPr>
          <w:rStyle w:val="32"/>
        </w:rPr>
        <w:t>言</w:t>
      </w:r>
      <w:r>
        <w:tab/>
      </w:r>
      <w:r>
        <w:fldChar w:fldCharType="begin"/>
      </w:r>
      <w:r>
        <w:instrText xml:space="preserve"> PAGEREF _Toc59703498 \h </w:instrText>
      </w:r>
      <w:r>
        <w:fldChar w:fldCharType="separate"/>
      </w:r>
      <w:r>
        <w:t>II</w:t>
      </w:r>
      <w:r>
        <w:fldChar w:fldCharType="end"/>
      </w:r>
      <w:r>
        <w:fldChar w:fldCharType="end"/>
      </w:r>
    </w:p>
    <w:p w14:paraId="57A7C242">
      <w:pPr>
        <w:pStyle w:val="19"/>
        <w:tabs>
          <w:tab w:val="right" w:leader="dot" w:pos="9344"/>
        </w:tabs>
        <w:rPr>
          <w:rFonts w:hint="eastAsia" w:ascii="等线" w:hAnsi="等线" w:eastAsia="等线"/>
          <w:szCs w:val="22"/>
        </w:rPr>
      </w:pPr>
      <w:r>
        <w:fldChar w:fldCharType="begin"/>
      </w:r>
      <w:r>
        <w:instrText xml:space="preserve"> HYPERLINK \l "_Toc59703499" </w:instrText>
      </w:r>
      <w:r>
        <w:fldChar w:fldCharType="separate"/>
      </w:r>
      <w:r>
        <w:rPr>
          <w:rStyle w:val="32"/>
        </w:rPr>
        <w:t>1  范围</w:t>
      </w:r>
      <w:r>
        <w:tab/>
      </w:r>
      <w:r>
        <w:fldChar w:fldCharType="begin"/>
      </w:r>
      <w:r>
        <w:instrText xml:space="preserve"> PAGEREF _Toc59703499 \h </w:instrText>
      </w:r>
      <w:r>
        <w:fldChar w:fldCharType="separate"/>
      </w:r>
      <w:r>
        <w:t>3</w:t>
      </w:r>
      <w:r>
        <w:fldChar w:fldCharType="end"/>
      </w:r>
      <w:r>
        <w:fldChar w:fldCharType="end"/>
      </w:r>
    </w:p>
    <w:p w14:paraId="59D43F62">
      <w:pPr>
        <w:pStyle w:val="19"/>
        <w:tabs>
          <w:tab w:val="right" w:leader="dot" w:pos="9344"/>
        </w:tabs>
        <w:rPr>
          <w:rFonts w:hint="eastAsia" w:ascii="等线" w:hAnsi="等线" w:eastAsia="等线"/>
          <w:szCs w:val="22"/>
        </w:rPr>
      </w:pPr>
      <w:r>
        <w:fldChar w:fldCharType="begin"/>
      </w:r>
      <w:r>
        <w:instrText xml:space="preserve"> HYPERLINK \l "_Toc59703500" </w:instrText>
      </w:r>
      <w:r>
        <w:fldChar w:fldCharType="separate"/>
      </w:r>
      <w:r>
        <w:rPr>
          <w:rStyle w:val="32"/>
        </w:rPr>
        <w:t>2  规范性引用文件</w:t>
      </w:r>
      <w:r>
        <w:tab/>
      </w:r>
      <w:r>
        <w:fldChar w:fldCharType="begin"/>
      </w:r>
      <w:r>
        <w:instrText xml:space="preserve"> PAGEREF _Toc59703500 \h </w:instrText>
      </w:r>
      <w:r>
        <w:fldChar w:fldCharType="separate"/>
      </w:r>
      <w:r>
        <w:t>3</w:t>
      </w:r>
      <w:r>
        <w:fldChar w:fldCharType="end"/>
      </w:r>
      <w:r>
        <w:fldChar w:fldCharType="end"/>
      </w:r>
    </w:p>
    <w:p w14:paraId="3E907189">
      <w:pPr>
        <w:pStyle w:val="19"/>
        <w:tabs>
          <w:tab w:val="right" w:leader="dot" w:pos="9344"/>
        </w:tabs>
        <w:rPr>
          <w:rFonts w:hint="eastAsia" w:ascii="等线" w:hAnsi="等线" w:eastAsia="等线"/>
          <w:szCs w:val="22"/>
        </w:rPr>
      </w:pPr>
      <w:r>
        <w:fldChar w:fldCharType="begin"/>
      </w:r>
      <w:r>
        <w:instrText xml:space="preserve"> HYPERLINK \l "_Toc59703501" </w:instrText>
      </w:r>
      <w:r>
        <w:fldChar w:fldCharType="separate"/>
      </w:r>
      <w:r>
        <w:rPr>
          <w:rStyle w:val="32"/>
        </w:rPr>
        <w:t>3  术语和定义</w:t>
      </w:r>
      <w:r>
        <w:tab/>
      </w:r>
      <w:r>
        <w:rPr>
          <w:rFonts w:hint="eastAsia"/>
        </w:rPr>
        <w:t>3</w:t>
      </w:r>
      <w:r>
        <w:rPr>
          <w:rFonts w:hint="eastAsia"/>
        </w:rPr>
        <w:fldChar w:fldCharType="end"/>
      </w:r>
    </w:p>
    <w:p w14:paraId="466073EE">
      <w:pPr>
        <w:pStyle w:val="19"/>
        <w:tabs>
          <w:tab w:val="right" w:leader="dot" w:pos="9344"/>
        </w:tabs>
        <w:rPr>
          <w:rFonts w:hint="eastAsia" w:ascii="等线" w:hAnsi="等线" w:eastAsia="等线"/>
          <w:szCs w:val="22"/>
        </w:rPr>
      </w:pPr>
      <w:r>
        <w:fldChar w:fldCharType="begin"/>
      </w:r>
      <w:r>
        <w:instrText xml:space="preserve"> HYPERLINK \l "_Toc59703502" </w:instrText>
      </w:r>
      <w:r>
        <w:fldChar w:fldCharType="separate"/>
      </w:r>
      <w:r>
        <w:rPr>
          <w:rStyle w:val="32"/>
        </w:rPr>
        <w:t xml:space="preserve">4  </w:t>
      </w:r>
      <w:r>
        <w:rPr>
          <w:rStyle w:val="32"/>
          <w:rFonts w:hint="eastAsia"/>
        </w:rPr>
        <w:t>产地环境</w:t>
      </w:r>
      <w:r>
        <w:tab/>
      </w:r>
      <w:r>
        <w:rPr>
          <w:rFonts w:hint="eastAsia"/>
        </w:rPr>
        <w:t>3</w:t>
      </w:r>
      <w:r>
        <w:rPr>
          <w:rFonts w:hint="eastAsia"/>
        </w:rPr>
        <w:fldChar w:fldCharType="end"/>
      </w:r>
    </w:p>
    <w:p w14:paraId="7D4C3F28">
      <w:pPr>
        <w:pStyle w:val="19"/>
        <w:tabs>
          <w:tab w:val="right" w:leader="dot" w:pos="9344"/>
        </w:tabs>
        <w:rPr>
          <w:rFonts w:hint="eastAsia" w:ascii="等线" w:hAnsi="等线" w:eastAsia="等线"/>
          <w:szCs w:val="22"/>
        </w:rPr>
      </w:pPr>
      <w:r>
        <w:fldChar w:fldCharType="begin"/>
      </w:r>
      <w:r>
        <w:instrText xml:space="preserve"> HYPERLINK \l "_Toc59703503" </w:instrText>
      </w:r>
      <w:r>
        <w:fldChar w:fldCharType="separate"/>
      </w:r>
      <w:r>
        <w:rPr>
          <w:rStyle w:val="32"/>
        </w:rPr>
        <w:t xml:space="preserve">5  </w:t>
      </w:r>
      <w:r>
        <w:rPr>
          <w:rStyle w:val="32"/>
          <w:rFonts w:hint="eastAsia"/>
        </w:rPr>
        <w:t>播前准备</w:t>
      </w:r>
      <w:r>
        <w:tab/>
      </w:r>
      <w:r>
        <w:fldChar w:fldCharType="begin"/>
      </w:r>
      <w:r>
        <w:instrText xml:space="preserve"> PAGEREF _Toc59703503 \h </w:instrText>
      </w:r>
      <w:r>
        <w:fldChar w:fldCharType="separate"/>
      </w:r>
      <w:r>
        <w:t>3</w:t>
      </w:r>
      <w:r>
        <w:fldChar w:fldCharType="end"/>
      </w:r>
      <w:r>
        <w:fldChar w:fldCharType="end"/>
      </w:r>
    </w:p>
    <w:p w14:paraId="711FEF98">
      <w:pPr>
        <w:pStyle w:val="19"/>
        <w:tabs>
          <w:tab w:val="right" w:leader="dot" w:pos="9344"/>
        </w:tabs>
        <w:rPr>
          <w:rFonts w:hint="eastAsia" w:ascii="等线" w:hAnsi="等线" w:eastAsia="等线"/>
          <w:szCs w:val="22"/>
        </w:rPr>
      </w:pPr>
      <w:r>
        <w:fldChar w:fldCharType="begin"/>
      </w:r>
      <w:r>
        <w:instrText xml:space="preserve"> HYPERLINK \l "_Toc59703508" </w:instrText>
      </w:r>
      <w:r>
        <w:fldChar w:fldCharType="separate"/>
      </w:r>
      <w:r>
        <w:rPr>
          <w:rStyle w:val="32"/>
        </w:rPr>
        <w:t>6  定植</w:t>
      </w:r>
      <w:r>
        <w:tab/>
      </w:r>
      <w:r>
        <w:rPr>
          <w:rFonts w:hint="eastAsia"/>
        </w:rPr>
        <w:t>4</w:t>
      </w:r>
      <w:r>
        <w:rPr>
          <w:rFonts w:hint="eastAsia"/>
        </w:rPr>
        <w:fldChar w:fldCharType="end"/>
      </w:r>
    </w:p>
    <w:p w14:paraId="7137830A">
      <w:pPr>
        <w:pStyle w:val="19"/>
        <w:tabs>
          <w:tab w:val="right" w:leader="dot" w:pos="9344"/>
        </w:tabs>
        <w:rPr>
          <w:rFonts w:hint="eastAsia" w:ascii="等线" w:hAnsi="等线" w:eastAsia="等线"/>
          <w:szCs w:val="22"/>
        </w:rPr>
      </w:pPr>
      <w:r>
        <w:fldChar w:fldCharType="begin"/>
      </w:r>
      <w:r>
        <w:instrText xml:space="preserve"> HYPERLINK \l "_Toc59703509" </w:instrText>
      </w:r>
      <w:r>
        <w:fldChar w:fldCharType="separate"/>
      </w:r>
      <w:r>
        <w:rPr>
          <w:rStyle w:val="32"/>
        </w:rPr>
        <w:t xml:space="preserve">7  </w:t>
      </w:r>
      <w:r>
        <w:rPr>
          <w:rStyle w:val="32"/>
          <w:rFonts w:hint="eastAsia"/>
        </w:rPr>
        <w:t>田间管理</w:t>
      </w:r>
      <w:r>
        <w:tab/>
      </w:r>
      <w:r>
        <w:rPr>
          <w:rFonts w:hint="eastAsia"/>
        </w:rPr>
        <w:t>5</w:t>
      </w:r>
      <w:r>
        <w:rPr>
          <w:rFonts w:hint="eastAsia"/>
        </w:rPr>
        <w:fldChar w:fldCharType="end"/>
      </w:r>
    </w:p>
    <w:p w14:paraId="79AB1B54">
      <w:pPr>
        <w:pStyle w:val="19"/>
        <w:tabs>
          <w:tab w:val="right" w:leader="dot" w:pos="9344"/>
        </w:tabs>
        <w:rPr>
          <w:rFonts w:hint="eastAsia" w:ascii="等线" w:hAnsi="等线" w:eastAsia="等线"/>
          <w:szCs w:val="22"/>
        </w:rPr>
      </w:pPr>
      <w:r>
        <w:fldChar w:fldCharType="begin"/>
      </w:r>
      <w:r>
        <w:instrText xml:space="preserve"> HYPERLINK \l "_Toc59703513" </w:instrText>
      </w:r>
      <w:r>
        <w:fldChar w:fldCharType="separate"/>
      </w:r>
      <w:r>
        <w:rPr>
          <w:rStyle w:val="32"/>
        </w:rPr>
        <w:t xml:space="preserve">8 </w:t>
      </w:r>
      <w:r>
        <w:rPr>
          <w:rStyle w:val="32"/>
          <w:rFonts w:hint="eastAsia"/>
        </w:rPr>
        <w:t xml:space="preserve"> </w:t>
      </w:r>
      <w:r>
        <w:rPr>
          <w:rStyle w:val="32"/>
        </w:rPr>
        <w:t>病虫害防治</w:t>
      </w:r>
      <w:r>
        <w:tab/>
      </w:r>
      <w:r>
        <w:rPr>
          <w:rFonts w:hint="eastAsia"/>
        </w:rPr>
        <w:t>6</w:t>
      </w:r>
      <w:r>
        <w:rPr>
          <w:rFonts w:hint="eastAsia"/>
        </w:rPr>
        <w:fldChar w:fldCharType="end"/>
      </w:r>
    </w:p>
    <w:p w14:paraId="4C485F7E">
      <w:pPr>
        <w:pStyle w:val="19"/>
        <w:tabs>
          <w:tab w:val="right" w:leader="dot" w:pos="9344"/>
        </w:tabs>
        <w:rPr>
          <w:rFonts w:hint="eastAsia"/>
        </w:rPr>
      </w:pPr>
      <w:r>
        <w:fldChar w:fldCharType="begin"/>
      </w:r>
      <w:r>
        <w:instrText xml:space="preserve"> HYPERLINK \l "_Toc59703523" </w:instrText>
      </w:r>
      <w:r>
        <w:fldChar w:fldCharType="separate"/>
      </w:r>
      <w:r>
        <w:rPr>
          <w:rStyle w:val="32"/>
          <w:rFonts w:hint="eastAsia"/>
        </w:rPr>
        <w:t>9</w:t>
      </w:r>
      <w:r>
        <w:rPr>
          <w:rStyle w:val="32"/>
        </w:rPr>
        <w:t xml:space="preserve">  采收</w:t>
      </w:r>
      <w:r>
        <w:tab/>
      </w:r>
      <w:r>
        <w:rPr>
          <w:rFonts w:hint="eastAsia"/>
          <w:lang w:val="en-US" w:eastAsia="zh-CN"/>
        </w:rPr>
        <w:t>6</w:t>
      </w:r>
      <w:r>
        <w:fldChar w:fldCharType="end"/>
      </w:r>
    </w:p>
    <w:p w14:paraId="2B625701">
      <w:pPr>
        <w:pStyle w:val="19"/>
        <w:tabs>
          <w:tab w:val="right" w:leader="dot" w:pos="9344"/>
        </w:tabs>
        <w:rPr>
          <w:rFonts w:hint="eastAsia"/>
        </w:rPr>
      </w:pPr>
      <w:r>
        <w:fldChar w:fldCharType="begin"/>
      </w:r>
      <w:r>
        <w:instrText xml:space="preserve"> HYPERLINK \l "_Toc59703509" </w:instrText>
      </w:r>
      <w:r>
        <w:fldChar w:fldCharType="separate"/>
      </w:r>
      <w:r>
        <w:rPr>
          <w:rStyle w:val="32"/>
          <w:rFonts w:hint="eastAsia"/>
          <w:lang w:val="en-US" w:eastAsia="zh-CN"/>
        </w:rPr>
        <w:t>10</w:t>
      </w:r>
      <w:r>
        <w:rPr>
          <w:rStyle w:val="32"/>
        </w:rPr>
        <w:t xml:space="preserve">  </w:t>
      </w:r>
      <w:r>
        <w:rPr>
          <w:rStyle w:val="32"/>
          <w:rFonts w:hint="eastAsia"/>
          <w:lang w:val="en-US" w:eastAsia="zh-CN"/>
        </w:rPr>
        <w:t>生产档案</w:t>
      </w:r>
      <w:r>
        <w:tab/>
      </w:r>
      <w:r>
        <w:rPr>
          <w:rFonts w:hint="eastAsia"/>
          <w:lang w:val="en-US" w:eastAsia="zh-CN"/>
        </w:rPr>
        <w:t>6</w:t>
      </w:r>
      <w:r>
        <w:rPr>
          <w:rFonts w:hint="eastAsia"/>
        </w:rPr>
        <w:fldChar w:fldCharType="end"/>
      </w:r>
    </w:p>
    <w:p w14:paraId="3D332A48">
      <w:pPr>
        <w:pStyle w:val="19"/>
        <w:tabs>
          <w:tab w:val="right" w:leader="dot" w:pos="9344"/>
        </w:tabs>
      </w:pPr>
      <w:r>
        <w:fldChar w:fldCharType="begin"/>
      </w:r>
      <w:r>
        <w:instrText xml:space="preserve"> HYPERLINK \l "_Toc59703524" </w:instrText>
      </w:r>
      <w:r>
        <w:fldChar w:fldCharType="separate"/>
      </w:r>
      <w:r>
        <w:rPr>
          <w:rFonts w:hint="eastAsia"/>
        </w:rPr>
        <w:t>附 录 A（规范性）</w:t>
      </w:r>
      <w:r>
        <w:rPr>
          <w:rFonts w:hint="eastAsia"/>
          <w:lang w:val="en-US" w:eastAsia="zh-CN"/>
        </w:rPr>
        <w:t xml:space="preserve"> </w:t>
      </w:r>
      <w:r>
        <w:rPr>
          <w:rFonts w:hint="eastAsia"/>
        </w:rPr>
        <w:t>甜瓜滴灌追施肥料用量</w:t>
      </w:r>
      <w:r>
        <w:tab/>
      </w:r>
      <w:r>
        <w:rPr>
          <w:rFonts w:hint="eastAsia"/>
          <w:lang w:val="en-US" w:eastAsia="zh-CN"/>
        </w:rPr>
        <w:t>8</w:t>
      </w:r>
      <w:r>
        <w:fldChar w:fldCharType="end"/>
      </w:r>
    </w:p>
    <w:p w14:paraId="03DC4F3A">
      <w:pPr>
        <w:pStyle w:val="19"/>
        <w:tabs>
          <w:tab w:val="right" w:leader="dot" w:pos="9344"/>
        </w:tabs>
        <w:rPr>
          <w:rFonts w:hint="eastAsia"/>
        </w:rPr>
      </w:pPr>
      <w:r>
        <w:fldChar w:fldCharType="begin"/>
      </w:r>
      <w:r>
        <w:instrText xml:space="preserve"> HYPERLINK \l "_Toc59703523" </w:instrText>
      </w:r>
      <w:r>
        <w:fldChar w:fldCharType="separate"/>
      </w:r>
      <w:r>
        <w:rPr>
          <w:rFonts w:hint="eastAsia"/>
          <w:lang w:val="en-US" w:eastAsia="zh-CN"/>
        </w:rPr>
        <w:t>附 录 B（规范性） 甜瓜主要病虫害化学药剂防治</w:t>
      </w:r>
      <w:r>
        <w:tab/>
      </w:r>
      <w:r>
        <w:rPr>
          <w:rFonts w:hint="eastAsia"/>
          <w:lang w:val="en-US" w:eastAsia="zh-CN"/>
        </w:rPr>
        <w:t>9</w:t>
      </w:r>
      <w:r>
        <w:fldChar w:fldCharType="end"/>
      </w:r>
    </w:p>
    <w:p w14:paraId="6AA4E84B">
      <w:pPr>
        <w:rPr>
          <w:rFonts w:hint="eastAsia"/>
          <w:lang w:val="en-US" w:eastAsia="zh-CN"/>
        </w:rPr>
      </w:pPr>
    </w:p>
    <w:p w14:paraId="6EE9F3B4">
      <w:pPr>
        <w:pStyle w:val="19"/>
        <w:tabs>
          <w:tab w:val="right" w:leader="dot" w:pos="9344"/>
        </w:tabs>
        <w:rPr>
          <w:rFonts w:hint="eastAsia" w:ascii="等线" w:hAnsi="等线" w:eastAsia="等线"/>
          <w:szCs w:val="22"/>
        </w:rPr>
      </w:pPr>
    </w:p>
    <w:p w14:paraId="4223289A">
      <w:pPr>
        <w:pStyle w:val="93"/>
        <w:spacing w:after="468"/>
        <w:sectPr>
          <w:headerReference r:id="rId11" w:type="default"/>
          <w:footerReference r:id="rId13" w:type="default"/>
          <w:headerReference r:id="rId12" w:type="even"/>
          <w:pgSz w:w="11906" w:h="16838"/>
          <w:pgMar w:top="1871" w:right="1134" w:bottom="1134" w:left="1134" w:header="1418" w:footer="1134" w:gutter="284"/>
          <w:pgNumType w:fmt="upperRoman" w:start="1"/>
          <w:cols w:space="720" w:num="1"/>
          <w:formProt w:val="0"/>
          <w:docGrid w:type="lines" w:linePitch="312" w:charSpace="0"/>
        </w:sectPr>
      </w:pPr>
      <w:r>
        <w:fldChar w:fldCharType="end"/>
      </w:r>
      <w:bookmarkStart w:id="62" w:name="_GoBack"/>
      <w:bookmarkEnd w:id="62"/>
    </w:p>
    <w:bookmarkEnd w:id="22"/>
    <w:p w14:paraId="02DE1729">
      <w:pPr>
        <w:pStyle w:val="91"/>
        <w:spacing w:after="468"/>
      </w:pPr>
      <w:bookmarkStart w:id="23" w:name="_Toc59703498"/>
      <w:bookmarkStart w:id="24" w:name="BookMark3"/>
      <w:r>
        <w:rPr>
          <w:rFonts w:hint="eastAsia"/>
          <w:spacing w:val="320"/>
        </w:rPr>
        <w:t>前</w:t>
      </w:r>
      <w:r>
        <w:t>言</w:t>
      </w:r>
      <w:bookmarkEnd w:id="23"/>
    </w:p>
    <w:p w14:paraId="1D2B268F">
      <w:pPr>
        <w:pStyle w:val="58"/>
        <w:ind w:firstLine="420"/>
      </w:pPr>
    </w:p>
    <w:p w14:paraId="1B730B4E">
      <w:pPr>
        <w:ind w:firstLine="420" w:firstLineChars="200"/>
      </w:pPr>
      <w:r>
        <w:rPr>
          <w:rFonts w:hint="eastAsia"/>
        </w:rPr>
        <w:t>本文件按照GB/T 1.1—2020 《标准化工作导则 第1部分：标准化文件的结构和起草规则》的规定起草。</w:t>
      </w:r>
    </w:p>
    <w:p w14:paraId="2785612A">
      <w:pPr>
        <w:ind w:firstLine="420" w:firstLineChars="200"/>
      </w:pPr>
      <w:r>
        <w:rPr>
          <w:rFonts w:hint="eastAsia"/>
        </w:rPr>
        <w:t>本文件由山西省农业农村厅提出、组织实施和监督检查。</w:t>
      </w:r>
    </w:p>
    <w:p w14:paraId="42ED5A14">
      <w:pPr>
        <w:ind w:firstLine="420" w:firstLineChars="200"/>
      </w:pPr>
      <w:r>
        <w:rPr>
          <w:rFonts w:hint="eastAsia"/>
        </w:rPr>
        <w:t>本文件由山西省市场监督管理局对标准的组织实施情况进行监督检查。</w:t>
      </w:r>
    </w:p>
    <w:p w14:paraId="26A59898">
      <w:pPr>
        <w:ind w:firstLine="420" w:firstLineChars="200"/>
      </w:pPr>
      <w:r>
        <w:rPr>
          <w:rFonts w:hint="eastAsia"/>
        </w:rPr>
        <w:t>本文件由山西省农业标准化技术委员会归口。</w:t>
      </w:r>
    </w:p>
    <w:p w14:paraId="39DBC534">
      <w:pPr>
        <w:ind w:firstLine="420" w:firstLineChars="200"/>
      </w:pPr>
      <w:r>
        <w:rPr>
          <w:rFonts w:hint="eastAsia"/>
        </w:rPr>
        <w:t>本文件起草单位：山西农业大学园艺学院。</w:t>
      </w:r>
    </w:p>
    <w:p w14:paraId="3F292865">
      <w:pPr>
        <w:ind w:firstLine="420" w:firstLineChars="200"/>
      </w:pPr>
      <w:r>
        <w:rPr>
          <w:rFonts w:hint="eastAsia"/>
        </w:rPr>
        <w:t>本标准主要起草人：王文娇、熊韬、李斌、苗妍秀、宋红霞、侯雷平。</w:t>
      </w:r>
    </w:p>
    <w:p w14:paraId="28FF6FA1">
      <w:pPr>
        <w:pStyle w:val="58"/>
        <w:ind w:firstLine="420"/>
      </w:pPr>
    </w:p>
    <w:p w14:paraId="7FA067E5">
      <w:pPr>
        <w:pStyle w:val="58"/>
        <w:ind w:firstLine="420"/>
        <w:sectPr>
          <w:pgSz w:w="11906" w:h="16838"/>
          <w:pgMar w:top="1871" w:right="1134" w:bottom="1134" w:left="1134" w:header="1418" w:footer="1134" w:gutter="284"/>
          <w:pgNumType w:fmt="upperRoman"/>
          <w:cols w:space="720" w:num="1"/>
          <w:formProt w:val="0"/>
          <w:docGrid w:type="lines" w:linePitch="312" w:charSpace="0"/>
        </w:sectPr>
      </w:pPr>
    </w:p>
    <w:bookmarkEnd w:id="24"/>
    <w:p w14:paraId="06069C2A">
      <w:pPr>
        <w:spacing w:line="20" w:lineRule="exact"/>
        <w:jc w:val="center"/>
        <w:rPr>
          <w:rFonts w:hint="eastAsia" w:ascii="黑体" w:hAnsi="黑体" w:eastAsia="黑体"/>
          <w:sz w:val="32"/>
          <w:szCs w:val="32"/>
        </w:rPr>
      </w:pPr>
      <w:bookmarkStart w:id="25" w:name="BookMark4"/>
    </w:p>
    <w:p w14:paraId="46A1A9AF">
      <w:pPr>
        <w:spacing w:line="20" w:lineRule="exact"/>
        <w:jc w:val="center"/>
        <w:rPr>
          <w:rFonts w:hint="eastAsia" w:ascii="黑体" w:hAnsi="黑体" w:eastAsia="黑体"/>
          <w:sz w:val="32"/>
          <w:szCs w:val="32"/>
        </w:rPr>
      </w:pPr>
    </w:p>
    <w:p w14:paraId="42F781C8">
      <w:pPr>
        <w:pStyle w:val="178"/>
        <w:spacing w:before="567" w:beforeLines="182" w:after="686" w:afterLines="220"/>
        <w:rPr>
          <w:rFonts w:hint="eastAsia"/>
        </w:rPr>
      </w:pPr>
      <w:bookmarkStart w:id="26" w:name="NEW_STAND_NAME"/>
      <w:r>
        <w:rPr>
          <w:rFonts w:hint="eastAsia"/>
        </w:rPr>
        <w:t>甜瓜旱作栽培技术规程</w:t>
      </w:r>
    </w:p>
    <w:bookmarkEnd w:id="26"/>
    <w:p w14:paraId="2C3A9C04">
      <w:pPr>
        <w:pStyle w:val="105"/>
        <w:spacing w:before="312" w:after="312"/>
      </w:pPr>
      <w:bookmarkStart w:id="27" w:name="_Toc26718930"/>
      <w:bookmarkStart w:id="28" w:name="_Toc24884211"/>
      <w:bookmarkStart w:id="29" w:name="_Toc26986530"/>
      <w:bookmarkStart w:id="30" w:name="_Toc17233325"/>
      <w:bookmarkStart w:id="31" w:name="_Toc17233333"/>
      <w:bookmarkStart w:id="32" w:name="_Toc26986771"/>
      <w:bookmarkStart w:id="33" w:name="_Toc24884218"/>
      <w:bookmarkStart w:id="34" w:name="_Toc59703499"/>
      <w:bookmarkStart w:id="35" w:name="_Toc26648465"/>
      <w:r>
        <w:rPr>
          <w:rFonts w:hint="eastAsia"/>
        </w:rPr>
        <w:t>范围</w:t>
      </w:r>
      <w:bookmarkEnd w:id="27"/>
      <w:bookmarkEnd w:id="28"/>
      <w:bookmarkEnd w:id="29"/>
      <w:bookmarkEnd w:id="30"/>
      <w:bookmarkEnd w:id="31"/>
      <w:bookmarkEnd w:id="32"/>
      <w:bookmarkEnd w:id="33"/>
      <w:bookmarkEnd w:id="34"/>
      <w:bookmarkEnd w:id="35"/>
    </w:p>
    <w:p w14:paraId="5F800E6F">
      <w:pPr>
        <w:pStyle w:val="58"/>
        <w:ind w:firstLine="420"/>
      </w:pPr>
      <w:bookmarkStart w:id="36" w:name="_Toc17233334"/>
      <w:bookmarkStart w:id="37" w:name="_Toc24884219"/>
      <w:bookmarkStart w:id="38" w:name="_Toc24884212"/>
      <w:bookmarkStart w:id="39" w:name="_Toc26648466"/>
      <w:bookmarkStart w:id="40" w:name="_Toc17233326"/>
      <w:r>
        <w:rPr>
          <w:rFonts w:hint="eastAsia"/>
        </w:rPr>
        <w:t>本文件规定了甜瓜旱作栽培技术的产地环境、定植前准备、定植、田间管理、病虫害防治、采收及生产档案的内容。</w:t>
      </w:r>
    </w:p>
    <w:p w14:paraId="4EB68F04">
      <w:pPr>
        <w:pStyle w:val="58"/>
        <w:ind w:firstLine="420"/>
      </w:pPr>
      <w:r>
        <w:rPr>
          <w:rFonts w:hint="eastAsia"/>
        </w:rPr>
        <w:t>本文件适用于甜瓜旱作栽培生产。</w:t>
      </w:r>
    </w:p>
    <w:p w14:paraId="4C996C5C">
      <w:pPr>
        <w:pStyle w:val="105"/>
        <w:spacing w:before="312" w:after="312"/>
      </w:pPr>
      <w:bookmarkStart w:id="41" w:name="_Toc26986772"/>
      <w:bookmarkStart w:id="42" w:name="_Toc59703500"/>
      <w:bookmarkStart w:id="43" w:name="_Toc26986531"/>
      <w:bookmarkStart w:id="44" w:name="_Toc26718931"/>
      <w:r>
        <w:rPr>
          <w:rFonts w:hint="eastAsia"/>
        </w:rPr>
        <w:t>规范性引用文件</w:t>
      </w:r>
      <w:bookmarkEnd w:id="36"/>
      <w:bookmarkEnd w:id="37"/>
      <w:bookmarkEnd w:id="38"/>
      <w:bookmarkEnd w:id="39"/>
      <w:bookmarkEnd w:id="40"/>
      <w:bookmarkEnd w:id="41"/>
      <w:bookmarkEnd w:id="42"/>
      <w:bookmarkEnd w:id="43"/>
      <w:bookmarkEnd w:id="44"/>
    </w:p>
    <w:p w14:paraId="34DEF272">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07BDE7">
      <w:pPr>
        <w:pStyle w:val="58"/>
        <w:ind w:firstLine="420"/>
      </w:pPr>
      <w:r>
        <w:rPr>
          <w:rFonts w:hint="eastAsia" w:ascii="Times New Roman"/>
        </w:rPr>
        <w:t xml:space="preserve">GB 15618     </w:t>
      </w:r>
      <w:r>
        <w:rPr>
          <w:rFonts w:hint="eastAsia"/>
        </w:rPr>
        <w:t>土壤环境质量 农用地土壤污染风险管控标准（试行）</w:t>
      </w:r>
    </w:p>
    <w:p w14:paraId="0C0D337E">
      <w:pPr>
        <w:pStyle w:val="58"/>
        <w:ind w:firstLine="420"/>
        <w:rPr>
          <w:rFonts w:ascii="Times New Roman"/>
        </w:rPr>
      </w:pPr>
      <w:r>
        <w:rPr>
          <w:rFonts w:hint="eastAsia" w:ascii="Times New Roman"/>
        </w:rPr>
        <w:t xml:space="preserve">GB 16715.1    瓜菜作物种子 </w:t>
      </w:r>
      <w:r>
        <w:rPr>
          <w:rFonts w:hint="eastAsia" w:ascii="Times New Roman"/>
          <w:szCs w:val="22"/>
        </w:rPr>
        <w:t>第1部分：</w:t>
      </w:r>
      <w:r>
        <w:rPr>
          <w:rFonts w:hint="eastAsia" w:ascii="Times New Roman"/>
        </w:rPr>
        <w:t>瓜类</w:t>
      </w:r>
    </w:p>
    <w:p w14:paraId="717D23D0">
      <w:pPr>
        <w:pStyle w:val="58"/>
        <w:ind w:firstLine="420"/>
        <w:rPr>
          <w:rFonts w:ascii="Times New Roman"/>
        </w:rPr>
      </w:pPr>
      <w:r>
        <w:rPr>
          <w:rFonts w:hint="eastAsia" w:ascii="Times New Roman"/>
        </w:rPr>
        <w:t>GB/T 8321     农药合理使用准则</w:t>
      </w:r>
    </w:p>
    <w:p w14:paraId="68D3E7DC">
      <w:pPr>
        <w:pStyle w:val="58"/>
        <w:ind w:firstLine="420"/>
        <w:rPr>
          <w:rFonts w:ascii="Times New Roman"/>
        </w:rPr>
      </w:pPr>
      <w:r>
        <w:rPr>
          <w:rFonts w:hint="eastAsia" w:ascii="Times New Roman"/>
        </w:rPr>
        <w:t>GB/T 17187    农业灌溉设备 滴头和滴灌管 技术规范和试验方法</w:t>
      </w:r>
    </w:p>
    <w:p w14:paraId="2472C228">
      <w:pPr>
        <w:pStyle w:val="58"/>
        <w:ind w:firstLine="420"/>
        <w:rPr>
          <w:rFonts w:ascii="Times New Roman"/>
        </w:rPr>
      </w:pPr>
      <w:r>
        <w:rPr>
          <w:rFonts w:hint="eastAsia" w:ascii="Times New Roman"/>
        </w:rPr>
        <w:t>GB/T 23416.3   蔬菜病虫害安全防治技术规范 第 3 部分：瓜类</w:t>
      </w:r>
    </w:p>
    <w:p w14:paraId="618F4D33">
      <w:pPr>
        <w:pStyle w:val="58"/>
        <w:ind w:firstLine="420"/>
        <w:rPr>
          <w:rFonts w:ascii="Times New Roman"/>
        </w:rPr>
      </w:pPr>
      <w:r>
        <w:rPr>
          <w:rFonts w:hint="eastAsia" w:ascii="Times New Roman"/>
        </w:rPr>
        <w:t>NY/T 2118     蔬菜育苗基质</w:t>
      </w:r>
    </w:p>
    <w:p w14:paraId="5191811B">
      <w:pPr>
        <w:pStyle w:val="58"/>
        <w:ind w:firstLine="420"/>
        <w:rPr>
          <w:rFonts w:ascii="Times New Roman"/>
        </w:rPr>
      </w:pPr>
      <w:r>
        <w:rPr>
          <w:rFonts w:hint="eastAsia" w:ascii="Times New Roman"/>
        </w:rPr>
        <w:t>NY/T 2119     蔬菜穴盘育苗 通则</w:t>
      </w:r>
    </w:p>
    <w:p w14:paraId="5612D202">
      <w:pPr>
        <w:pStyle w:val="58"/>
        <w:ind w:firstLine="420"/>
        <w:rPr>
          <w:rFonts w:ascii="Times New Roman"/>
        </w:rPr>
      </w:pPr>
      <w:r>
        <w:rPr>
          <w:rFonts w:hint="eastAsia" w:ascii="Times New Roman"/>
        </w:rPr>
        <w:t xml:space="preserve">NY/T 2624     </w:t>
      </w:r>
      <w:r>
        <w:fldChar w:fldCharType="begin"/>
      </w:r>
      <w:r>
        <w:instrText xml:space="preserve"> HYPERLINK "https://std.samr.gov.cn/hb/search/stdHBDetailed?id=AF7D4A1CE6661558E05397BE0A0A9D1D" \t "https://std.samr.gov.cn/search/stdPage?q=NY/_blank" </w:instrText>
      </w:r>
      <w:r>
        <w:fldChar w:fldCharType="separate"/>
      </w:r>
      <w:r>
        <w:rPr>
          <w:rFonts w:ascii="Times New Roman"/>
        </w:rPr>
        <w:t>水肥一体化技术规范 总则</w:t>
      </w:r>
      <w:r>
        <w:rPr>
          <w:rFonts w:ascii="Times New Roman"/>
        </w:rPr>
        <w:fldChar w:fldCharType="end"/>
      </w:r>
    </w:p>
    <w:p w14:paraId="2B0F7177">
      <w:pPr>
        <w:pStyle w:val="58"/>
        <w:ind w:firstLine="420"/>
        <w:rPr>
          <w:rFonts w:ascii="Times New Roman"/>
        </w:rPr>
      </w:pPr>
      <w:r>
        <w:rPr>
          <w:rFonts w:hint="eastAsia" w:ascii="Times New Roman"/>
        </w:rPr>
        <w:t>DB 14/T 1574   甜瓜穴盘嫁接育苗技术规程</w:t>
      </w:r>
    </w:p>
    <w:p w14:paraId="0A80BACD">
      <w:pPr>
        <w:pStyle w:val="58"/>
        <w:ind w:firstLine="420"/>
        <w:rPr>
          <w:rFonts w:ascii="Times New Roman"/>
        </w:rPr>
      </w:pPr>
      <w:r>
        <w:rPr>
          <w:rFonts w:hint="eastAsia" w:ascii="Times New Roman"/>
        </w:rPr>
        <w:t>DB 14/T 2608   旱作农田有机肥料施用技术规程</w:t>
      </w:r>
    </w:p>
    <w:p w14:paraId="078AF26A">
      <w:pPr>
        <w:pStyle w:val="105"/>
        <w:spacing w:before="312" w:after="312"/>
      </w:pPr>
      <w:r>
        <w:rPr>
          <w:rFonts w:hint="eastAsia"/>
        </w:rPr>
        <w:t>术语和定义</w:t>
      </w:r>
    </w:p>
    <w:p w14:paraId="788278DD">
      <w:pPr>
        <w:pStyle w:val="105"/>
        <w:numPr>
          <w:ilvl w:val="1"/>
          <w:numId w:val="0"/>
        </w:numPr>
        <w:spacing w:before="312" w:after="312"/>
        <w:ind w:firstLine="420" w:firstLineChars="200"/>
        <w:rPr>
          <w:rFonts w:ascii="宋体" w:hAnsi="Calibri" w:eastAsia="宋体"/>
        </w:rPr>
      </w:pPr>
      <w:r>
        <w:rPr>
          <w:rFonts w:hint="eastAsia" w:ascii="宋体" w:hAnsi="Calibri" w:eastAsia="宋体"/>
        </w:rPr>
        <w:t>本文件没有需要界定的术语和定义。</w:t>
      </w:r>
    </w:p>
    <w:p w14:paraId="4063A481">
      <w:pPr>
        <w:pStyle w:val="105"/>
        <w:spacing w:before="312" w:after="312"/>
      </w:pPr>
      <w:bookmarkStart w:id="45" w:name="_Toc59703503"/>
      <w:bookmarkStart w:id="46" w:name="_Hlk45800502"/>
      <w:bookmarkStart w:id="47" w:name="_Toc468985193"/>
      <w:r>
        <w:rPr>
          <w:rFonts w:hint="eastAsia"/>
        </w:rPr>
        <w:t>产地环境</w:t>
      </w:r>
      <w:bookmarkEnd w:id="45"/>
    </w:p>
    <w:p w14:paraId="49AACA32">
      <w:pPr>
        <w:pStyle w:val="230"/>
      </w:pPr>
      <w:r>
        <w:rPr>
          <w:rFonts w:hint="eastAsia"/>
        </w:rPr>
        <w:t>旱地甜瓜栽培产地环境条件符合</w:t>
      </w:r>
      <w:r>
        <w:rPr>
          <w:rFonts w:hint="eastAsia" w:ascii="Times New Roman"/>
        </w:rPr>
        <w:t>GB 15618</w:t>
      </w:r>
      <w:r>
        <w:rPr>
          <w:rFonts w:hint="eastAsia"/>
        </w:rPr>
        <w:t>的要求。选择光照充足，年日照时数不低于2800小时，大气湿度适中，相对湿度50%～70%，土层深厚，通透性好的冲积砂土或壤土地区。</w:t>
      </w:r>
    </w:p>
    <w:p w14:paraId="381BB821">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播前准备</w:t>
      </w:r>
    </w:p>
    <w:p w14:paraId="1A73AD45">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5</w:t>
      </w:r>
      <w:r>
        <w:rPr>
          <w:rFonts w:ascii="黑体" w:hAnsi="Times New Roman" w:eastAsia="黑体"/>
          <w:kern w:val="0"/>
          <w:szCs w:val="22"/>
        </w:rPr>
        <w:t>.</w:t>
      </w:r>
      <w:r>
        <w:rPr>
          <w:rFonts w:hint="eastAsia" w:ascii="黑体" w:hAnsi="Times New Roman" w:eastAsia="黑体"/>
          <w:kern w:val="0"/>
          <w:szCs w:val="22"/>
        </w:rPr>
        <w:t xml:space="preserve">1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育苗</w:t>
      </w:r>
    </w:p>
    <w:p w14:paraId="62CAFD64">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5.1.1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 xml:space="preserve">品种选择 </w:t>
      </w:r>
    </w:p>
    <w:p w14:paraId="3535DB1B">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宋体" w:hAnsi="Times New Roman"/>
          <w:kern w:val="0"/>
          <w:szCs w:val="20"/>
        </w:rPr>
        <w:t>选择抗病性强、分枝力中等、易坐果、产量高、</w:t>
      </w:r>
      <w:r>
        <w:rPr>
          <w:rFonts w:hint="eastAsia" w:ascii="Times New Roman" w:hAnsi="Times New Roman"/>
          <w:kern w:val="0"/>
          <w:szCs w:val="20"/>
        </w:rPr>
        <w:t xml:space="preserve">商品性好、耐旱型品种，宜选用中晚熟品种。 </w:t>
      </w:r>
    </w:p>
    <w:p w14:paraId="518AC857">
      <w:pPr>
        <w:widowControl/>
        <w:adjustRightInd/>
        <w:spacing w:before="312" w:beforeLines="100" w:after="312" w:afterLines="100" w:line="240" w:lineRule="auto"/>
        <w:jc w:val="left"/>
        <w:outlineLvl w:val="2"/>
        <w:rPr>
          <w:rFonts w:ascii="黑体" w:hAnsi="Times New Roman" w:eastAsia="黑体"/>
          <w:kern w:val="0"/>
        </w:rPr>
      </w:pPr>
      <w:r>
        <w:rPr>
          <w:rFonts w:hint="eastAsia" w:ascii="黑体" w:hAnsi="Times New Roman" w:eastAsia="黑体"/>
          <w:kern w:val="0"/>
        </w:rPr>
        <w:t>5</w:t>
      </w:r>
      <w:r>
        <w:rPr>
          <w:rFonts w:ascii="黑体" w:hAnsi="Times New Roman" w:eastAsia="黑体"/>
          <w:kern w:val="0"/>
        </w:rPr>
        <w:t>.</w:t>
      </w:r>
      <w:r>
        <w:rPr>
          <w:rFonts w:hint="eastAsia" w:ascii="黑体" w:hAnsi="Times New Roman" w:eastAsia="黑体"/>
          <w:kern w:val="0"/>
        </w:rPr>
        <w:t>2</w:t>
      </w:r>
      <w:r>
        <w:rPr>
          <w:rFonts w:ascii="黑体" w:hAnsi="Times New Roman" w:eastAsia="黑体"/>
          <w:kern w:val="0"/>
        </w:rPr>
        <w:t xml:space="preserve"> </w:t>
      </w:r>
      <w:r>
        <w:rPr>
          <w:rFonts w:hint="eastAsia" w:ascii="黑体" w:hAnsi="Times New Roman" w:eastAsia="黑体"/>
          <w:kern w:val="0"/>
          <w:lang w:val="en-US" w:eastAsia="zh-CN"/>
        </w:rPr>
        <w:t xml:space="preserve"> </w:t>
      </w:r>
      <w:r>
        <w:rPr>
          <w:rFonts w:hint="eastAsia" w:ascii="黑体" w:hAnsi="Times New Roman" w:eastAsia="黑体"/>
          <w:kern w:val="0"/>
        </w:rPr>
        <w:t>种子质量</w:t>
      </w:r>
    </w:p>
    <w:p w14:paraId="64804D9A">
      <w:pPr>
        <w:widowControl/>
        <w:adjustRightInd/>
        <w:spacing w:before="312" w:beforeLines="100" w:after="312" w:afterLines="100" w:line="240" w:lineRule="auto"/>
        <w:ind w:firstLine="420" w:firstLineChars="200"/>
        <w:jc w:val="left"/>
        <w:outlineLvl w:val="2"/>
        <w:rPr>
          <w:rFonts w:hint="eastAsia" w:ascii="黑体" w:hAnsi="Times New Roman" w:eastAsia="黑体"/>
          <w:kern w:val="0"/>
        </w:rPr>
      </w:pPr>
      <w:r>
        <w:rPr>
          <w:rFonts w:hint="eastAsia" w:ascii="Times New Roman" w:hAnsi="Times New Roman"/>
          <w:kern w:val="0"/>
          <w:szCs w:val="20"/>
        </w:rPr>
        <w:t>种子质量应符合GB 16715.1中二级以上要求。</w:t>
      </w:r>
    </w:p>
    <w:p w14:paraId="086AE1C0">
      <w:pPr>
        <w:widowControl/>
        <w:adjustRightInd/>
        <w:spacing w:before="312" w:beforeLines="100" w:after="312" w:afterLines="100" w:line="240" w:lineRule="auto"/>
        <w:jc w:val="left"/>
        <w:outlineLvl w:val="2"/>
        <w:rPr>
          <w:rFonts w:hint="eastAsia" w:ascii="黑体" w:hAnsi="Times New Roman" w:eastAsia="黑体"/>
          <w:kern w:val="0"/>
        </w:rPr>
      </w:pPr>
      <w:r>
        <w:rPr>
          <w:rFonts w:hint="eastAsia" w:ascii="黑体" w:hAnsi="Times New Roman" w:eastAsia="黑体"/>
          <w:kern w:val="0"/>
        </w:rPr>
        <w:t>5</w:t>
      </w:r>
      <w:r>
        <w:rPr>
          <w:rFonts w:ascii="黑体" w:hAnsi="Times New Roman" w:eastAsia="黑体"/>
          <w:kern w:val="0"/>
        </w:rPr>
        <w:t>.</w:t>
      </w:r>
      <w:r>
        <w:rPr>
          <w:rFonts w:hint="eastAsia" w:ascii="黑体" w:hAnsi="Times New Roman" w:eastAsia="黑体"/>
          <w:kern w:val="0"/>
        </w:rPr>
        <w:t>3</w:t>
      </w:r>
      <w:r>
        <w:rPr>
          <w:rFonts w:ascii="黑体" w:hAnsi="Times New Roman" w:eastAsia="黑体"/>
          <w:kern w:val="0"/>
        </w:rPr>
        <w:t xml:space="preserve"> </w:t>
      </w:r>
      <w:r>
        <w:rPr>
          <w:rFonts w:hint="eastAsia" w:ascii="黑体" w:hAnsi="Times New Roman" w:eastAsia="黑体"/>
          <w:kern w:val="0"/>
          <w:lang w:val="en-US" w:eastAsia="zh-CN"/>
        </w:rPr>
        <w:t xml:space="preserve"> </w:t>
      </w:r>
      <w:r>
        <w:rPr>
          <w:rFonts w:hint="eastAsia" w:ascii="黑体" w:hAnsi="Times New Roman" w:eastAsia="黑体"/>
          <w:kern w:val="0"/>
        </w:rPr>
        <w:t>育苗</w:t>
      </w:r>
    </w:p>
    <w:p w14:paraId="49B8884A">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5.3.1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 xml:space="preserve">基质准备 </w:t>
      </w:r>
    </w:p>
    <w:p w14:paraId="47515B45">
      <w:pPr>
        <w:widowControl/>
        <w:ind w:firstLine="420" w:firstLineChars="200"/>
        <w:rPr>
          <w:rFonts w:ascii="Times New Roman" w:hAnsi="Times New Roman"/>
          <w:kern w:val="0"/>
          <w:szCs w:val="20"/>
        </w:rPr>
      </w:pPr>
      <w:r>
        <w:rPr>
          <w:rFonts w:hint="eastAsia" w:ascii="Times New Roman" w:hAnsi="Times New Roman"/>
          <w:kern w:val="0"/>
          <w:szCs w:val="20"/>
        </w:rPr>
        <w:t>选择瓜类商品育苗基质，或将40%泥炭土、椰糠、珍珠岩或蛭石和腐熟有机肥以4：3：2：1的比例混合均匀，育苗基质应符合NY/T 2118的规定。</w:t>
      </w:r>
    </w:p>
    <w:p w14:paraId="17273E7C">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5.3.2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 xml:space="preserve">穴盘育苗 </w:t>
      </w:r>
    </w:p>
    <w:p w14:paraId="5794DB69">
      <w:pPr>
        <w:widowControl/>
        <w:autoSpaceDE w:val="0"/>
        <w:autoSpaceDN w:val="0"/>
        <w:adjustRightInd/>
        <w:spacing w:line="240" w:lineRule="auto"/>
        <w:ind w:firstLine="420" w:firstLineChars="200"/>
        <w:rPr>
          <w:rFonts w:ascii="Times New Roman" w:hAnsi="Times New Roman"/>
          <w:kern w:val="0"/>
          <w:szCs w:val="20"/>
        </w:rPr>
      </w:pPr>
      <w:r>
        <w:rPr>
          <w:rFonts w:hint="eastAsia" w:ascii="宋体" w:hAnsi="Times New Roman"/>
          <w:kern w:val="0"/>
          <w:szCs w:val="20"/>
        </w:rPr>
        <w:t>选</w:t>
      </w:r>
      <w:r>
        <w:rPr>
          <w:rFonts w:hint="eastAsia" w:ascii="Times New Roman" w:hAnsi="Times New Roman"/>
          <w:kern w:val="0"/>
          <w:szCs w:val="20"/>
        </w:rPr>
        <w:t>择50孔穴盘，使用旧穴盘时，应对穴盘进行清理、冲洗、晾晒及消毒。将基质装入穴盘，每穴播种1粒，播种深度1 cm，用基质覆盖后浇透水盖膜并放在配有防虫、遮阳设备的设施中。首次种植可采用自根苗；重茬种植采用嫁接苗。自根苗应符合NY/T 2119的要求，嫁接育苗按照DB 14/T 1574执行。</w:t>
      </w:r>
    </w:p>
    <w:p w14:paraId="04B2261D">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5.3.3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苗期管理</w:t>
      </w:r>
    </w:p>
    <w:p w14:paraId="416CC747">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出苗前白天保持在28℃~32℃，夜间17℃~20℃，基质湿度70%~80%，出苗后及时揭膜;幼苗早期，白天22℃~25℃，夜间13℃~15℃;破心后，白天25℃~28℃，夜间17℃~19℃;定植前5d~6d，白天温度20℃左右，夜间12℃~15℃。灌水选择早晨，见干见湿，并加强通风。</w:t>
      </w:r>
    </w:p>
    <w:p w14:paraId="0525D719">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5.3.4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壮苗指标</w:t>
      </w:r>
    </w:p>
    <w:p w14:paraId="17B98791">
      <w:pPr>
        <w:widowControl/>
        <w:autoSpaceDE w:val="0"/>
        <w:autoSpaceDN w:val="0"/>
        <w:adjustRightInd/>
        <w:spacing w:line="240" w:lineRule="auto"/>
        <w:ind w:firstLine="420" w:firstLineChars="200"/>
        <w:rPr>
          <w:rFonts w:ascii="Times New Roman" w:hAnsi="Times New Roman" w:eastAsia="黑体"/>
          <w:kern w:val="0"/>
          <w:szCs w:val="22"/>
        </w:rPr>
      </w:pPr>
      <w:r>
        <w:rPr>
          <w:rFonts w:hint="eastAsia" w:ascii="宋体" w:hAnsi="Times New Roman"/>
          <w:kern w:val="0"/>
          <w:szCs w:val="20"/>
        </w:rPr>
        <w:t xml:space="preserve"> </w:t>
      </w:r>
      <w:r>
        <w:rPr>
          <w:rFonts w:hint="eastAsia" w:ascii="Times New Roman" w:hAnsi="Times New Roman"/>
          <w:kern w:val="0"/>
          <w:szCs w:val="20"/>
        </w:rPr>
        <w:t>株高12 cm～15 cm，2～3片真叶，茎粗0.25 cm～0.3 cm、叶片肥壮、无病虫害、无机械损伤的秧苗</w:t>
      </w:r>
      <w:r>
        <w:rPr>
          <w:rFonts w:hint="eastAsia" w:ascii="Times New Roman" w:hAnsi="Times New Roman" w:eastAsia="黑体"/>
          <w:kern w:val="0"/>
          <w:szCs w:val="22"/>
        </w:rPr>
        <w:t>。</w:t>
      </w:r>
    </w:p>
    <w:p w14:paraId="4F8745F0">
      <w:pPr>
        <w:pStyle w:val="105"/>
        <w:numPr>
          <w:ilvl w:val="0"/>
          <w:numId w:val="0"/>
        </w:numPr>
        <w:spacing w:before="312" w:after="312"/>
      </w:pPr>
      <w:r>
        <w:rPr>
          <w:rFonts w:hint="eastAsia"/>
        </w:rPr>
        <w:t>6</w:t>
      </w:r>
      <w:r>
        <w:t xml:space="preserve"> </w:t>
      </w:r>
      <w:r>
        <w:rPr>
          <w:rFonts w:hint="eastAsia"/>
          <w:lang w:val="en-US" w:eastAsia="zh-CN"/>
        </w:rPr>
        <w:t xml:space="preserve"> </w:t>
      </w:r>
      <w:r>
        <w:rPr>
          <w:rFonts w:hint="eastAsia"/>
        </w:rPr>
        <w:t>定植</w:t>
      </w:r>
    </w:p>
    <w:p w14:paraId="1392E9D2">
      <w:pPr>
        <w:pStyle w:val="106"/>
        <w:numPr>
          <w:ilvl w:val="0"/>
          <w:numId w:val="0"/>
        </w:numPr>
        <w:spacing w:before="156" w:after="156"/>
      </w:pPr>
      <w:r>
        <w:rPr>
          <w:rFonts w:hint="eastAsia"/>
        </w:rPr>
        <w:t>6</w:t>
      </w:r>
      <w:r>
        <w:t xml:space="preserve">.1  </w:t>
      </w:r>
      <w:r>
        <w:rPr>
          <w:rFonts w:hint="eastAsia"/>
        </w:rPr>
        <w:t>选地要求</w:t>
      </w:r>
    </w:p>
    <w:p w14:paraId="0620EAC5">
      <w:pPr>
        <w:pStyle w:val="58"/>
        <w:ind w:firstLine="420"/>
      </w:pPr>
      <w:r>
        <w:rPr>
          <w:rFonts w:hint="eastAsia"/>
        </w:rPr>
        <w:t>宜选择无遮挡的平地。</w:t>
      </w:r>
    </w:p>
    <w:p w14:paraId="37DB3400">
      <w:pPr>
        <w:pStyle w:val="106"/>
        <w:numPr>
          <w:ilvl w:val="0"/>
          <w:numId w:val="0"/>
        </w:numPr>
        <w:spacing w:before="156" w:after="156"/>
      </w:pPr>
      <w:r>
        <w:rPr>
          <w:rFonts w:hint="eastAsia"/>
        </w:rPr>
        <w:t>6</w:t>
      </w:r>
      <w:r>
        <w:t>.</w:t>
      </w:r>
      <w:r>
        <w:rPr>
          <w:rFonts w:hint="eastAsia"/>
        </w:rPr>
        <w:t>2</w:t>
      </w:r>
      <w:r>
        <w:t xml:space="preserve">  </w:t>
      </w:r>
      <w:r>
        <w:rPr>
          <w:rFonts w:hint="eastAsia"/>
        </w:rPr>
        <w:t>整地施肥</w:t>
      </w:r>
    </w:p>
    <w:p w14:paraId="6F66B2D2">
      <w:pPr>
        <w:widowControl/>
        <w:adjustRightInd/>
        <w:spacing w:before="156" w:beforeLines="50" w:after="156" w:afterLines="50" w:line="240" w:lineRule="auto"/>
        <w:ind w:firstLine="420"/>
        <w:jc w:val="left"/>
        <w:outlineLvl w:val="2"/>
      </w:pPr>
      <w:r>
        <w:rPr>
          <w:rFonts w:hint="eastAsia" w:ascii="Times New Roman" w:hAnsi="Times New Roman"/>
          <w:kern w:val="0"/>
          <w:szCs w:val="20"/>
        </w:rPr>
        <w:t>在播种前的春季进行，每667 m</w:t>
      </w:r>
      <w:r>
        <w:rPr>
          <w:rFonts w:hint="eastAsia" w:ascii="Times New Roman" w:hAnsi="Times New Roman"/>
          <w:kern w:val="0"/>
          <w:szCs w:val="20"/>
          <w:vertAlign w:val="superscript"/>
        </w:rPr>
        <w:t>2</w:t>
      </w:r>
      <w:r>
        <w:rPr>
          <w:rFonts w:hint="eastAsia" w:ascii="Times New Roman" w:hAnsi="Times New Roman"/>
          <w:kern w:val="0"/>
          <w:szCs w:val="20"/>
        </w:rPr>
        <w:t>施3 000 kg～5 000 kg腐熟优质有机肥，</w:t>
      </w:r>
      <w:r>
        <w:rPr>
          <w:rFonts w:hint="eastAsia" w:ascii="Times New Roman" w:hAnsi="Times New Roman" w:cs="宋体"/>
          <w:kern w:val="0"/>
          <w:szCs w:val="18"/>
        </w:rPr>
        <w:t>磷酸二铵</w:t>
      </w:r>
      <w:r>
        <w:rPr>
          <w:rFonts w:hint="eastAsia" w:ascii="Times New Roman" w:hAnsi="Times New Roman"/>
          <w:kern w:val="0"/>
          <w:szCs w:val="20"/>
        </w:rPr>
        <w:t>5 kg～15 kg，硫酸锌1 kg～1.5 kg，硫酸钾2 kg～8 kg，深翻30 cm，利用耕机将肥土混合均匀，施肥标准参照DB 14/T 2608。种植畦宽70 cm～80 cm，爬蔓畦宽220 cm～230 cm，在种植畦覆盖聚乙烯无色透明膜并在膜下铺设滴灌，滴灌设备符合GB/T 17187要求。</w:t>
      </w:r>
    </w:p>
    <w:p w14:paraId="51E725CA">
      <w:pPr>
        <w:pStyle w:val="106"/>
        <w:numPr>
          <w:ilvl w:val="0"/>
          <w:numId w:val="0"/>
        </w:numPr>
        <w:spacing w:before="156" w:after="156"/>
      </w:pPr>
      <w:r>
        <w:rPr>
          <w:rFonts w:hint="eastAsia"/>
        </w:rPr>
        <w:t>6</w:t>
      </w:r>
      <w:r>
        <w:t>.</w:t>
      </w:r>
      <w:r>
        <w:rPr>
          <w:rFonts w:hint="eastAsia"/>
        </w:rPr>
        <w:t>3</w:t>
      </w:r>
      <w:r>
        <w:t xml:space="preserve">  </w:t>
      </w:r>
      <w:r>
        <w:rPr>
          <w:rFonts w:hint="eastAsia"/>
        </w:rPr>
        <w:t>定植</w:t>
      </w:r>
    </w:p>
    <w:p w14:paraId="2BA187D5">
      <w:pPr>
        <w:pStyle w:val="106"/>
        <w:numPr>
          <w:ilvl w:val="0"/>
          <w:numId w:val="0"/>
        </w:numPr>
        <w:spacing w:before="156" w:after="156"/>
      </w:pPr>
      <w:r>
        <w:rPr>
          <w:rFonts w:hint="eastAsia"/>
        </w:rPr>
        <w:t>6</w:t>
      </w:r>
      <w:r>
        <w:t>.</w:t>
      </w:r>
      <w:r>
        <w:rPr>
          <w:rFonts w:hint="eastAsia"/>
        </w:rPr>
        <w:t>3.1</w:t>
      </w:r>
      <w:r>
        <w:t xml:space="preserve">  </w:t>
      </w:r>
      <w:r>
        <w:rPr>
          <w:rFonts w:hint="eastAsia"/>
        </w:rPr>
        <w:t>定植时间</w:t>
      </w:r>
    </w:p>
    <w:p w14:paraId="6EE4BADC">
      <w:pPr>
        <w:pStyle w:val="106"/>
        <w:numPr>
          <w:ilvl w:val="0"/>
          <w:numId w:val="0"/>
        </w:numPr>
        <w:spacing w:before="156" w:after="156"/>
        <w:ind w:firstLine="420" w:firstLineChars="200"/>
        <w:rPr>
          <w:rFonts w:ascii="Times New Roman" w:eastAsia="宋体"/>
        </w:rPr>
      </w:pPr>
      <w:r>
        <w:rPr>
          <w:rFonts w:hint="eastAsia" w:ascii="Times New Roman" w:eastAsia="宋体"/>
        </w:rPr>
        <w:t>10 cm地温稳定在15 ℃以上定植。</w:t>
      </w:r>
    </w:p>
    <w:p w14:paraId="57E18ADF">
      <w:pPr>
        <w:pStyle w:val="106"/>
        <w:numPr>
          <w:ilvl w:val="0"/>
          <w:numId w:val="0"/>
        </w:numPr>
        <w:spacing w:before="156" w:after="156"/>
      </w:pPr>
      <w:r>
        <w:rPr>
          <w:rFonts w:hint="eastAsia"/>
        </w:rPr>
        <w:t>6</w:t>
      </w:r>
      <w:r>
        <w:t>.</w:t>
      </w:r>
      <w:r>
        <w:rPr>
          <w:rFonts w:hint="eastAsia"/>
        </w:rPr>
        <w:t>3.2  定植密度</w:t>
      </w:r>
    </w:p>
    <w:p w14:paraId="02997E15">
      <w:pPr>
        <w:widowControl/>
        <w:spacing w:before="312" w:beforeLines="100" w:after="312" w:afterLines="100"/>
        <w:ind w:firstLine="420" w:firstLineChars="200"/>
        <w:outlineLvl w:val="1"/>
        <w:rPr>
          <w:rFonts w:ascii="Times New Roman" w:hAnsi="Times New Roman"/>
          <w:kern w:val="0"/>
          <w:szCs w:val="20"/>
        </w:rPr>
      </w:pPr>
      <w:r>
        <w:rPr>
          <w:rFonts w:hint="eastAsia" w:ascii="Times New Roman" w:hAnsi="Times New Roman"/>
          <w:kern w:val="0"/>
          <w:szCs w:val="20"/>
        </w:rPr>
        <w:t>爬蔓栽培，小果型品种株距50 cm，大果型中晚熟品种株距55 cm，每667 m</w:t>
      </w:r>
      <w:r>
        <w:rPr>
          <w:rFonts w:hint="eastAsia" w:ascii="Times New Roman" w:hAnsi="Times New Roman"/>
          <w:kern w:val="0"/>
          <w:szCs w:val="20"/>
          <w:vertAlign w:val="superscript"/>
        </w:rPr>
        <w:t>2</w:t>
      </w:r>
      <w:r>
        <w:rPr>
          <w:rFonts w:hint="eastAsia" w:ascii="Times New Roman" w:hAnsi="Times New Roman"/>
          <w:kern w:val="0"/>
          <w:szCs w:val="20"/>
        </w:rPr>
        <w:t>定植800～900株。</w:t>
      </w:r>
    </w:p>
    <w:p w14:paraId="5586A2C6">
      <w:pPr>
        <w:pStyle w:val="106"/>
        <w:numPr>
          <w:ilvl w:val="0"/>
          <w:numId w:val="0"/>
        </w:numPr>
        <w:spacing w:before="156" w:after="156"/>
      </w:pPr>
      <w:r>
        <w:rPr>
          <w:rFonts w:hint="eastAsia"/>
        </w:rPr>
        <w:t>6</w:t>
      </w:r>
      <w:r>
        <w:t>.3</w:t>
      </w:r>
      <w:r>
        <w:rPr>
          <w:rFonts w:hint="eastAsia"/>
        </w:rPr>
        <w:t>.3</w:t>
      </w:r>
      <w:r>
        <w:t xml:space="preserve">  </w:t>
      </w:r>
      <w:r>
        <w:rPr>
          <w:rFonts w:hint="eastAsia"/>
        </w:rPr>
        <w:t>定植方法</w:t>
      </w:r>
    </w:p>
    <w:p w14:paraId="291F7A26">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采用穴盘苗定植机，单株定植，栽植深度以土壤不没过子叶为宜。定植后及时浇水。</w:t>
      </w:r>
    </w:p>
    <w:p w14:paraId="379DC3B8">
      <w:pPr>
        <w:pStyle w:val="106"/>
        <w:numPr>
          <w:ilvl w:val="0"/>
          <w:numId w:val="0"/>
        </w:numPr>
        <w:spacing w:before="156" w:after="156"/>
        <w:rPr>
          <w:szCs w:val="22"/>
        </w:rPr>
      </w:pPr>
      <w:bookmarkStart w:id="48" w:name="_Toc59703517"/>
      <w:r>
        <w:rPr>
          <w:rFonts w:hint="eastAsia"/>
          <w:szCs w:val="22"/>
        </w:rPr>
        <w:t>7</w:t>
      </w:r>
      <w:r>
        <w:rPr>
          <w:szCs w:val="22"/>
        </w:rPr>
        <w:t xml:space="preserve">  </w:t>
      </w:r>
      <w:bookmarkEnd w:id="48"/>
      <w:r>
        <w:rPr>
          <w:rFonts w:hint="eastAsia"/>
          <w:szCs w:val="22"/>
        </w:rPr>
        <w:t>田间管理</w:t>
      </w:r>
    </w:p>
    <w:p w14:paraId="3A6A415C">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7.1  水分管理</w:t>
      </w:r>
    </w:p>
    <w:p w14:paraId="195A4642">
      <w:pPr>
        <w:pStyle w:val="58"/>
        <w:ind w:firstLine="420"/>
        <w:rPr>
          <w:rFonts w:ascii="Calibri" w:hAnsi="Calibri"/>
          <w:kern w:val="2"/>
          <w:szCs w:val="21"/>
        </w:rPr>
      </w:pPr>
      <w:r>
        <w:rPr>
          <w:rFonts w:hint="eastAsia" w:ascii="Calibri" w:hAnsi="Calibri"/>
          <w:kern w:val="2"/>
          <w:szCs w:val="21"/>
        </w:rPr>
        <w:t>充分利用自然降雨、蓄水设施等在定植后、苗期、伸蔓期、坐果期及果实膨大期开展灌溉浇水。</w:t>
      </w:r>
    </w:p>
    <w:p w14:paraId="374611AB">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7.1.1  雨雪贮存 </w:t>
      </w:r>
    </w:p>
    <w:p w14:paraId="16208FBC">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 xml:space="preserve">上年秋季田间开宽50 cm～60 cm，深40 cm～50 cm瓜沟，贮存冬季自然雨雪，春季封沟保墒。 </w:t>
      </w:r>
    </w:p>
    <w:p w14:paraId="7A36E520">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7.1.2  覆膜保水 </w:t>
      </w:r>
    </w:p>
    <w:p w14:paraId="270107EB">
      <w:pPr>
        <w:widowControl/>
        <w:autoSpaceDE w:val="0"/>
        <w:autoSpaceDN w:val="0"/>
        <w:adjustRightInd/>
        <w:spacing w:line="240" w:lineRule="auto"/>
        <w:ind w:firstLine="420" w:firstLineChars="200"/>
        <w:rPr>
          <w:rFonts w:ascii="宋体" w:hAnsi="Times New Roman"/>
          <w:kern w:val="0"/>
          <w:szCs w:val="20"/>
        </w:rPr>
      </w:pPr>
      <w:r>
        <w:rPr>
          <w:rFonts w:hint="eastAsia" w:ascii="Times New Roman" w:hAnsi="Times New Roman"/>
          <w:kern w:val="0"/>
          <w:szCs w:val="20"/>
        </w:rPr>
        <w:t>种植畦宽70 cm～80 cm，爬蔓畦宽220 cm～230 cm，种植畦覆盖聚乙烯无色透明膜。</w:t>
      </w:r>
      <w:r>
        <w:rPr>
          <w:rFonts w:hint="eastAsia" w:ascii="宋体" w:hAnsi="Times New Roman"/>
          <w:kern w:val="0"/>
          <w:szCs w:val="20"/>
        </w:rPr>
        <w:t xml:space="preserve"> </w:t>
      </w:r>
    </w:p>
    <w:p w14:paraId="6D998F9F">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7.1.3  节水灌溉 </w:t>
      </w:r>
    </w:p>
    <w:p w14:paraId="3727AB04">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可选择建造软体集雨水窖，配套采用滴灌技术。</w:t>
      </w:r>
    </w:p>
    <w:p w14:paraId="07D893CB">
      <w:pPr>
        <w:pStyle w:val="58"/>
        <w:ind w:firstLine="420"/>
        <w:rPr>
          <w:rFonts w:ascii="Calibri" w:hAnsi="Calibri"/>
          <w:kern w:val="2"/>
          <w:szCs w:val="21"/>
        </w:rPr>
      </w:pPr>
    </w:p>
    <w:p w14:paraId="1AAA9656">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7.2  施肥管理</w:t>
      </w:r>
    </w:p>
    <w:p w14:paraId="1D560E94">
      <w:pPr>
        <w:widowControl/>
        <w:adjustRightInd/>
        <w:spacing w:before="312" w:beforeLines="100" w:after="312" w:afterLines="100" w:line="240" w:lineRule="auto"/>
        <w:outlineLvl w:val="1"/>
        <w:rPr>
          <w:rFonts w:ascii="黑体" w:hAnsi="Times New Roman" w:eastAsia="黑体"/>
          <w:kern w:val="0"/>
          <w:szCs w:val="22"/>
        </w:rPr>
      </w:pPr>
      <w:r>
        <w:rPr>
          <w:rFonts w:hint="eastAsia" w:ascii="黑体" w:hAnsi="Times New Roman" w:eastAsia="黑体"/>
          <w:kern w:val="0"/>
          <w:szCs w:val="22"/>
        </w:rPr>
        <w:t xml:space="preserve">7.2.1  常规施肥 </w:t>
      </w:r>
    </w:p>
    <w:p w14:paraId="0979F320">
      <w:pPr>
        <w:widowControl/>
        <w:adjustRightInd/>
        <w:spacing w:before="312" w:beforeLines="100" w:after="312" w:afterLines="100" w:line="240" w:lineRule="auto"/>
        <w:ind w:firstLine="420" w:firstLineChars="200"/>
        <w:outlineLvl w:val="1"/>
        <w:rPr>
          <w:rFonts w:ascii="Times New Roman" w:hAnsi="Times New Roman"/>
        </w:rPr>
      </w:pPr>
      <w:r>
        <w:rPr>
          <w:rFonts w:hint="eastAsia" w:ascii="Times New Roman" w:hAnsi="Times New Roman"/>
        </w:rPr>
        <w:t>伸蔓期，每667 m</w:t>
      </w:r>
      <w:r>
        <w:rPr>
          <w:rFonts w:hint="eastAsia" w:ascii="Times New Roman" w:hAnsi="Times New Roman"/>
          <w:vertAlign w:val="superscript"/>
        </w:rPr>
        <w:t>2</w:t>
      </w:r>
      <w:r>
        <w:rPr>
          <w:rFonts w:hint="eastAsia" w:ascii="Times New Roman" w:hAnsi="Times New Roman"/>
        </w:rPr>
        <w:t>埋施氮磷钾平衡型配方肥15 kg～20 kg。果实膨大期，每667 m</w:t>
      </w:r>
      <w:r>
        <w:rPr>
          <w:rFonts w:hint="eastAsia" w:ascii="Times New Roman" w:hAnsi="Times New Roman"/>
          <w:vertAlign w:val="superscript"/>
        </w:rPr>
        <w:t>2</w:t>
      </w:r>
      <w:r>
        <w:rPr>
          <w:rFonts w:hint="eastAsia" w:ascii="Times New Roman" w:hAnsi="Times New Roman"/>
        </w:rPr>
        <w:t>埋施高钾配方肥20 kg～30 kg。</w:t>
      </w:r>
    </w:p>
    <w:p w14:paraId="2670BE4F">
      <w:pPr>
        <w:widowControl/>
        <w:adjustRightInd/>
        <w:spacing w:before="312" w:beforeLines="100" w:after="312" w:afterLines="100" w:line="240" w:lineRule="auto"/>
        <w:outlineLvl w:val="1"/>
        <w:rPr>
          <w:rFonts w:ascii="Times New Roman" w:hAnsi="Times New Roman"/>
        </w:rPr>
      </w:pPr>
      <w:r>
        <w:rPr>
          <w:rFonts w:hint="eastAsia" w:ascii="黑体" w:hAnsi="Times New Roman" w:eastAsia="黑体"/>
          <w:kern w:val="0"/>
          <w:szCs w:val="22"/>
        </w:rPr>
        <w:t>7.2.2  水肥一体化</w:t>
      </w:r>
    </w:p>
    <w:p w14:paraId="27B0107A">
      <w:pPr>
        <w:widowControl/>
        <w:adjustRightInd/>
        <w:spacing w:before="312" w:beforeLines="100" w:after="312" w:afterLines="100" w:line="240" w:lineRule="auto"/>
        <w:ind w:firstLine="420" w:firstLineChars="200"/>
        <w:outlineLvl w:val="1"/>
        <w:rPr>
          <w:rFonts w:hint="eastAsia" w:ascii="Times New Roman" w:hAnsi="Times New Roman"/>
          <w:szCs w:val="20"/>
        </w:rPr>
      </w:pPr>
      <w:r>
        <w:rPr>
          <w:rFonts w:hint="eastAsia" w:ascii="Times New Roman" w:hAnsi="Times New Roman"/>
        </w:rPr>
        <w:t>采用水肥一体机膜下滴灌</w:t>
      </w:r>
      <w:r>
        <w:rPr>
          <w:rFonts w:hint="eastAsia" w:ascii="Times New Roman" w:hAnsi="Times New Roman"/>
          <w:szCs w:val="20"/>
        </w:rPr>
        <w:t>，从定植至开花期滴灌追肥3次，坐果至拉秧期间滴灌追肥4次，追施肥料用量见</w:t>
      </w:r>
      <w:r>
        <w:rPr>
          <w:rFonts w:hint="eastAsia" w:ascii="Times New Roman" w:hAnsi="Times New Roman"/>
          <w:szCs w:val="20"/>
          <w:lang w:val="en-US" w:eastAsia="zh-CN"/>
        </w:rPr>
        <w:t>附录A</w:t>
      </w:r>
      <w:r>
        <w:rPr>
          <w:rFonts w:hint="eastAsia" w:ascii="Times New Roman" w:hAnsi="Times New Roman"/>
          <w:szCs w:val="20"/>
        </w:rPr>
        <w:t>。水肥一体化装置的安装和使用参照 NY/T 2624执行。</w:t>
      </w:r>
    </w:p>
    <w:p w14:paraId="3D827F06">
      <w:pPr>
        <w:pStyle w:val="106"/>
        <w:numPr>
          <w:ilvl w:val="0"/>
          <w:numId w:val="0"/>
        </w:numPr>
        <w:spacing w:before="156" w:after="156"/>
      </w:pPr>
      <w:bookmarkStart w:id="49" w:name="_Toc59703518"/>
      <w:r>
        <w:rPr>
          <w:rFonts w:hint="eastAsia"/>
        </w:rPr>
        <w:t>7.3</w:t>
      </w:r>
      <w:r>
        <w:t xml:space="preserve">  植株调整</w:t>
      </w:r>
      <w:bookmarkEnd w:id="49"/>
    </w:p>
    <w:p w14:paraId="524FEB2F">
      <w:pPr>
        <w:widowControl/>
        <w:adjustRightInd/>
        <w:spacing w:before="312" w:beforeLines="100" w:after="312" w:afterLines="100" w:line="240" w:lineRule="auto"/>
        <w:outlineLvl w:val="1"/>
        <w:rPr>
          <w:rFonts w:ascii="宋体"/>
          <w:szCs w:val="20"/>
        </w:rPr>
      </w:pPr>
      <w:r>
        <w:rPr>
          <w:rFonts w:hint="eastAsia" w:ascii="黑体" w:hAnsi="Times New Roman" w:eastAsia="黑体"/>
          <w:kern w:val="0"/>
          <w:szCs w:val="22"/>
        </w:rPr>
        <w:t xml:space="preserve">7.3.1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三蔓整枝</w:t>
      </w:r>
    </w:p>
    <w:p w14:paraId="5EFE5A64">
      <w:pPr>
        <w:widowControl/>
        <w:tabs>
          <w:tab w:val="center" w:pos="4201"/>
          <w:tab w:val="right" w:leader="dot" w:pos="9298"/>
        </w:tabs>
        <w:autoSpaceDE w:val="0"/>
        <w:autoSpaceDN w:val="0"/>
        <w:ind w:firstLine="420" w:firstLineChars="200"/>
        <w:rPr>
          <w:rFonts w:ascii="Times New Roman" w:hAnsi="Times New Roman"/>
          <w:szCs w:val="20"/>
        </w:rPr>
      </w:pPr>
      <w:r>
        <w:rPr>
          <w:rFonts w:hint="eastAsia" w:ascii="Times New Roman" w:hAnsi="Times New Roman"/>
          <w:szCs w:val="20"/>
        </w:rPr>
        <w:t>主蔓在3～4片真叶时摘心，留3条健壮子蔓，每条子蔓6～8片叶时摘心，每条孙蔓在第1～2个片叶处留1个瓜，瓜前留2～3片叶摘心，每株留6～8个瓜。</w:t>
      </w:r>
    </w:p>
    <w:p w14:paraId="5EDE92E1">
      <w:pPr>
        <w:widowControl/>
        <w:adjustRightInd/>
        <w:spacing w:before="312" w:beforeLines="100" w:after="312" w:afterLines="100" w:line="240" w:lineRule="auto"/>
        <w:outlineLvl w:val="1"/>
      </w:pPr>
      <w:r>
        <w:rPr>
          <w:rFonts w:hint="eastAsia" w:ascii="黑体" w:hAnsi="Times New Roman" w:eastAsia="黑体"/>
          <w:kern w:val="0"/>
          <w:szCs w:val="22"/>
        </w:rPr>
        <w:t xml:space="preserve">7.3.1 </w:t>
      </w:r>
      <w:r>
        <w:rPr>
          <w:rFonts w:hint="eastAsia" w:ascii="黑体" w:hAnsi="Times New Roman" w:eastAsia="黑体"/>
          <w:kern w:val="0"/>
          <w:szCs w:val="22"/>
          <w:lang w:val="en-US" w:eastAsia="zh-CN"/>
        </w:rPr>
        <w:t xml:space="preserve"> </w:t>
      </w:r>
      <w:r>
        <w:rPr>
          <w:rFonts w:hint="eastAsia" w:ascii="黑体" w:hAnsi="Times New Roman" w:eastAsia="黑体"/>
          <w:kern w:val="0"/>
          <w:szCs w:val="22"/>
        </w:rPr>
        <w:t>四蔓整枝</w:t>
      </w:r>
    </w:p>
    <w:p w14:paraId="1BB5B8CD">
      <w:pPr>
        <w:widowControl/>
        <w:tabs>
          <w:tab w:val="center" w:pos="4201"/>
          <w:tab w:val="right" w:leader="dot" w:pos="9298"/>
        </w:tabs>
        <w:autoSpaceDE w:val="0"/>
        <w:autoSpaceDN w:val="0"/>
        <w:ind w:firstLine="420" w:firstLineChars="200"/>
        <w:rPr>
          <w:rFonts w:ascii="Times New Roman" w:hAnsi="Times New Roman"/>
          <w:szCs w:val="20"/>
        </w:rPr>
      </w:pPr>
      <w:r>
        <w:rPr>
          <w:rFonts w:hint="eastAsia" w:ascii="Times New Roman" w:hAnsi="Times New Roman"/>
          <w:szCs w:val="20"/>
        </w:rPr>
        <w:t>主蔓在4～5片真叶时摘心，留4条健壮子蔓，每条子蔓4片叶时摘心，留1～2条孙蔓结瓜，瓜前留2～3片叶摘心，每株留6～8个瓜。</w:t>
      </w:r>
    </w:p>
    <w:p w14:paraId="257F5C01">
      <w:pPr>
        <w:pStyle w:val="105"/>
        <w:numPr>
          <w:ilvl w:val="0"/>
          <w:numId w:val="0"/>
        </w:numPr>
        <w:spacing w:before="312" w:after="312"/>
      </w:pPr>
      <w:bookmarkStart w:id="50" w:name="_Toc59703519"/>
      <w:r>
        <w:rPr>
          <w:rFonts w:hint="eastAsia"/>
        </w:rPr>
        <w:t>8</w:t>
      </w:r>
      <w:r>
        <w:t xml:space="preserve">  </w:t>
      </w:r>
      <w:r>
        <w:rPr>
          <w:rFonts w:hint="eastAsia"/>
        </w:rPr>
        <w:t>病虫害防治</w:t>
      </w:r>
      <w:bookmarkEnd w:id="50"/>
    </w:p>
    <w:p w14:paraId="21F94970">
      <w:pPr>
        <w:pStyle w:val="68"/>
        <w:numPr>
          <w:ilvl w:val="0"/>
          <w:numId w:val="0"/>
        </w:numPr>
        <w:spacing w:before="156" w:after="156"/>
      </w:pPr>
      <w:r>
        <w:rPr>
          <w:rFonts w:hint="eastAsia"/>
        </w:rPr>
        <w:t>8.1  病虫害种类</w:t>
      </w:r>
    </w:p>
    <w:p w14:paraId="73831491">
      <w:pPr>
        <w:pStyle w:val="58"/>
        <w:ind w:firstLine="0" w:firstLineChars="0"/>
        <w:rPr>
          <w:rFonts w:ascii="黑体" w:eastAsia="黑体"/>
        </w:rPr>
      </w:pPr>
      <w:r>
        <w:rPr>
          <w:rFonts w:hint="eastAsia" w:ascii="黑体" w:eastAsia="黑体"/>
        </w:rPr>
        <w:t xml:space="preserve">    </w:t>
      </w:r>
      <w:r>
        <w:rPr>
          <w:rFonts w:hint="eastAsia" w:hAnsi="Calibri"/>
        </w:rPr>
        <w:t>主要病害：霜霉病、炭疽病、枯萎病、白粉病、疫病、蔓枯病、软腐病等；主要虫害：蚜虫、红蜘蛛、白粉虱、蓟马等。</w:t>
      </w:r>
    </w:p>
    <w:p w14:paraId="06B8F870">
      <w:pPr>
        <w:pStyle w:val="68"/>
        <w:numPr>
          <w:ilvl w:val="0"/>
          <w:numId w:val="0"/>
        </w:numPr>
        <w:spacing w:before="156" w:after="156"/>
      </w:pPr>
      <w:bookmarkStart w:id="51" w:name="_Toc59703520"/>
      <w:r>
        <w:rPr>
          <w:rFonts w:hint="eastAsia"/>
        </w:rPr>
        <w:t>8.2  防治原则</w:t>
      </w:r>
      <w:bookmarkEnd w:id="51"/>
    </w:p>
    <w:p w14:paraId="011F9A9C">
      <w:pPr>
        <w:widowControl/>
        <w:tabs>
          <w:tab w:val="center" w:pos="4201"/>
          <w:tab w:val="right" w:leader="dot" w:pos="9298"/>
        </w:tabs>
        <w:autoSpaceDE w:val="0"/>
        <w:autoSpaceDN w:val="0"/>
        <w:ind w:firstLine="420" w:firstLineChars="200"/>
        <w:rPr>
          <w:rFonts w:ascii="宋体"/>
          <w:szCs w:val="22"/>
        </w:rPr>
      </w:pPr>
      <w:r>
        <w:rPr>
          <w:rFonts w:hint="eastAsia" w:ascii="宋体"/>
          <w:kern w:val="0"/>
          <w:szCs w:val="20"/>
        </w:rPr>
        <w:t>坚持“预防为主，综合防治”的原则，采用农业防治、物理防治和生物防治相结合的措施，协调各项防治技术，发挥综合效益。</w:t>
      </w:r>
    </w:p>
    <w:p w14:paraId="347B15CF">
      <w:pPr>
        <w:pStyle w:val="106"/>
        <w:numPr>
          <w:ilvl w:val="0"/>
          <w:numId w:val="0"/>
        </w:numPr>
        <w:spacing w:before="156" w:after="156"/>
      </w:pPr>
      <w:bookmarkStart w:id="52" w:name="_Toc59703522"/>
      <w:r>
        <w:rPr>
          <w:rFonts w:hint="eastAsia"/>
        </w:rPr>
        <w:t>8</w:t>
      </w:r>
      <w:r>
        <w:t>.</w:t>
      </w:r>
      <w:r>
        <w:rPr>
          <w:rFonts w:hint="eastAsia"/>
        </w:rPr>
        <w:t>3</w:t>
      </w:r>
      <w:r>
        <w:t xml:space="preserve">  </w:t>
      </w:r>
      <w:r>
        <w:rPr>
          <w:rFonts w:hint="eastAsia"/>
        </w:rPr>
        <w:t>防治方法</w:t>
      </w:r>
      <w:bookmarkEnd w:id="52"/>
    </w:p>
    <w:p w14:paraId="71007672">
      <w:pPr>
        <w:pStyle w:val="68"/>
        <w:numPr>
          <w:ilvl w:val="0"/>
          <w:numId w:val="0"/>
        </w:numPr>
        <w:spacing w:before="156" w:after="156"/>
      </w:pPr>
      <w:r>
        <w:rPr>
          <w:rFonts w:hint="eastAsia"/>
        </w:rPr>
        <w:t>8</w:t>
      </w:r>
      <w:r>
        <w:t>.</w:t>
      </w:r>
      <w:r>
        <w:rPr>
          <w:rFonts w:hint="eastAsia"/>
        </w:rPr>
        <w:t>3</w:t>
      </w:r>
      <w:r>
        <w:t xml:space="preserve">.1  </w:t>
      </w:r>
      <w:r>
        <w:rPr>
          <w:rFonts w:hint="eastAsia"/>
        </w:rPr>
        <w:t>农业防治</w:t>
      </w:r>
    </w:p>
    <w:p w14:paraId="39CCED5C">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选用抗病品种；实施轮作倒茬，培育嫁接壮苗；合理密植，采用滴灌等措施。</w:t>
      </w:r>
    </w:p>
    <w:p w14:paraId="05BAC0E9">
      <w:pPr>
        <w:pStyle w:val="68"/>
        <w:numPr>
          <w:ilvl w:val="0"/>
          <w:numId w:val="0"/>
        </w:numPr>
        <w:spacing w:before="156" w:after="156"/>
      </w:pPr>
      <w:r>
        <w:rPr>
          <w:rFonts w:hint="eastAsia"/>
        </w:rPr>
        <w:t>8</w:t>
      </w:r>
      <w:r>
        <w:t>.</w:t>
      </w:r>
      <w:r>
        <w:rPr>
          <w:rFonts w:hint="eastAsia"/>
        </w:rPr>
        <w:t>3</w:t>
      </w:r>
      <w:r>
        <w:t xml:space="preserve">.2  </w:t>
      </w:r>
      <w:r>
        <w:rPr>
          <w:rFonts w:hint="eastAsia"/>
        </w:rPr>
        <w:t>物理防治</w:t>
      </w:r>
    </w:p>
    <w:p w14:paraId="68875FFE">
      <w:pPr>
        <w:pStyle w:val="58"/>
        <w:ind w:firstLine="420"/>
        <w:rPr>
          <w:rFonts w:ascii="Times New Roman"/>
        </w:rPr>
      </w:pPr>
      <w:r>
        <w:rPr>
          <w:rFonts w:hint="eastAsia" w:ascii="Times New Roman"/>
        </w:rPr>
        <w:t>每667 m²安装1～2盏农用杀虫灯，安装高度以离地80 cm～100 cm为宜。</w:t>
      </w:r>
    </w:p>
    <w:p w14:paraId="2C7A79B4">
      <w:pPr>
        <w:pStyle w:val="68"/>
        <w:numPr>
          <w:ilvl w:val="0"/>
          <w:numId w:val="0"/>
        </w:numPr>
        <w:spacing w:before="156" w:after="156"/>
      </w:pPr>
      <w:r>
        <w:rPr>
          <w:rFonts w:hint="eastAsia"/>
        </w:rPr>
        <w:t>8</w:t>
      </w:r>
      <w:r>
        <w:t>.</w:t>
      </w:r>
      <w:r>
        <w:rPr>
          <w:rFonts w:hint="eastAsia"/>
        </w:rPr>
        <w:t>3</w:t>
      </w:r>
      <w:r>
        <w:t xml:space="preserve">.3  </w:t>
      </w:r>
      <w:r>
        <w:rPr>
          <w:rFonts w:hint="eastAsia"/>
        </w:rPr>
        <w:t>生物防治</w:t>
      </w:r>
    </w:p>
    <w:p w14:paraId="719BAD7A">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利用丽蚜小蜂防治白粉虱，瓢虫、草蛉、蚜小蜂等来防治蚜虫。</w:t>
      </w:r>
    </w:p>
    <w:p w14:paraId="7C5B1F45">
      <w:pPr>
        <w:pStyle w:val="68"/>
        <w:numPr>
          <w:ilvl w:val="0"/>
          <w:numId w:val="0"/>
        </w:numPr>
        <w:spacing w:before="156" w:after="156"/>
      </w:pPr>
      <w:r>
        <w:rPr>
          <w:rFonts w:hint="eastAsia"/>
        </w:rPr>
        <w:t>8</w:t>
      </w:r>
      <w:r>
        <w:t>.</w:t>
      </w:r>
      <w:r>
        <w:rPr>
          <w:rFonts w:hint="eastAsia"/>
        </w:rPr>
        <w:t>3</w:t>
      </w:r>
      <w:r>
        <w:t xml:space="preserve">.4  </w:t>
      </w:r>
      <w:r>
        <w:rPr>
          <w:rFonts w:hint="eastAsia"/>
        </w:rPr>
        <w:t>化学防治</w:t>
      </w:r>
    </w:p>
    <w:p w14:paraId="4ECBA74E">
      <w:pPr>
        <w:pStyle w:val="105"/>
        <w:numPr>
          <w:ilvl w:val="0"/>
          <w:numId w:val="0"/>
        </w:numPr>
        <w:spacing w:before="312" w:after="312"/>
        <w:ind w:firstLine="420" w:firstLineChars="200"/>
        <w:rPr>
          <w:rFonts w:ascii="Times New Roman" w:eastAsia="宋体"/>
        </w:rPr>
      </w:pPr>
      <w:bookmarkStart w:id="53" w:name="_Toc468985198"/>
      <w:bookmarkStart w:id="54" w:name="_Toc59703523"/>
      <w:r>
        <w:rPr>
          <w:rFonts w:hint="eastAsia" w:ascii="Times New Roman" w:eastAsia="宋体"/>
        </w:rPr>
        <w:t>所有化学农药使用应符合 GB/T 8321和 GB/T 23416.3 的规定。化学药剂和使用方法</w:t>
      </w:r>
    </w:p>
    <w:p w14:paraId="75DE444F">
      <w:pPr>
        <w:pStyle w:val="105"/>
        <w:numPr>
          <w:ilvl w:val="0"/>
          <w:numId w:val="0"/>
        </w:numPr>
        <w:spacing w:before="312" w:after="312"/>
        <w:rPr>
          <w:rFonts w:ascii="Times New Roman" w:eastAsia="宋体"/>
        </w:rPr>
      </w:pPr>
      <w:r>
        <w:rPr>
          <w:rFonts w:hint="eastAsia" w:ascii="Times New Roman" w:eastAsia="宋体"/>
        </w:rPr>
        <w:t>见表2。</w:t>
      </w:r>
    </w:p>
    <w:p w14:paraId="6AEF76E5">
      <w:pPr>
        <w:pStyle w:val="105"/>
        <w:numPr>
          <w:ilvl w:val="0"/>
          <w:numId w:val="0"/>
        </w:numPr>
        <w:spacing w:before="312" w:after="312"/>
      </w:pPr>
      <w:r>
        <w:rPr>
          <w:rFonts w:hint="eastAsia"/>
        </w:rPr>
        <w:t>9</w:t>
      </w:r>
      <w:r>
        <w:t xml:space="preserve">  采收</w:t>
      </w:r>
    </w:p>
    <w:p w14:paraId="7FB1141E">
      <w:pPr>
        <w:widowControl/>
        <w:tabs>
          <w:tab w:val="center" w:pos="4201"/>
          <w:tab w:val="right" w:leader="dot" w:pos="9298"/>
        </w:tabs>
        <w:autoSpaceDE w:val="0"/>
        <w:autoSpaceDN w:val="0"/>
        <w:ind w:firstLine="420" w:firstLineChars="200"/>
        <w:rPr>
          <w:rFonts w:ascii="Times New Roman" w:hAnsi="Times New Roman"/>
          <w:szCs w:val="20"/>
        </w:rPr>
      </w:pPr>
      <w:r>
        <w:rPr>
          <w:rFonts w:hint="eastAsia" w:ascii="Times New Roman" w:hAnsi="Times New Roman"/>
          <w:szCs w:val="20"/>
        </w:rPr>
        <w:t>甜瓜成熟后用剪刀采收，保留“ T ”字形果柄。采收时执行农药安全间隔期规定。</w:t>
      </w:r>
    </w:p>
    <w:p w14:paraId="475DB683">
      <w:pPr>
        <w:pStyle w:val="105"/>
        <w:numPr>
          <w:ilvl w:val="0"/>
          <w:numId w:val="0"/>
        </w:numPr>
        <w:spacing w:before="312" w:after="312"/>
      </w:pPr>
      <w:bookmarkStart w:id="55" w:name="_Toc468985199"/>
      <w:bookmarkStart w:id="56" w:name="_Toc59703524"/>
      <w:r>
        <w:rPr>
          <w:rFonts w:hint="eastAsia"/>
        </w:rPr>
        <w:t>10</w:t>
      </w:r>
      <w:r>
        <w:t xml:space="preserve">  </w:t>
      </w:r>
      <w:r>
        <w:rPr>
          <w:rFonts w:hint="eastAsia"/>
        </w:rPr>
        <w:t>生产档案</w:t>
      </w:r>
      <w:bookmarkEnd w:id="55"/>
      <w:bookmarkEnd w:id="56"/>
    </w:p>
    <w:p w14:paraId="712FA3EB">
      <w:pPr>
        <w:pStyle w:val="58"/>
        <w:ind w:firstLine="420"/>
      </w:pPr>
      <w:r>
        <w:rPr>
          <w:rFonts w:hint="eastAsia"/>
        </w:rPr>
        <w:t>对甜瓜旱作栽培过程建立生产档案，保存两年以上，以备查阅。</w:t>
      </w:r>
    </w:p>
    <w:p w14:paraId="4BB05087">
      <w:pPr>
        <w:pStyle w:val="233"/>
        <w:numPr>
          <w:ilvl w:val="0"/>
          <w:numId w:val="0"/>
        </w:numPr>
        <w:spacing w:before="156" w:after="156"/>
        <w:jc w:val="both"/>
      </w:pPr>
    </w:p>
    <w:p w14:paraId="460E2315">
      <w:pPr>
        <w:pStyle w:val="233"/>
        <w:numPr>
          <w:ilvl w:val="0"/>
          <w:numId w:val="0"/>
        </w:numPr>
        <w:spacing w:before="156" w:after="156"/>
        <w:ind w:left="623"/>
      </w:pPr>
    </w:p>
    <w:p w14:paraId="2764C6E1">
      <w:pPr>
        <w:pStyle w:val="233"/>
        <w:numPr>
          <w:ilvl w:val="0"/>
          <w:numId w:val="0"/>
        </w:numPr>
        <w:spacing w:before="156" w:after="156"/>
        <w:ind w:left="623"/>
      </w:pPr>
    </w:p>
    <w:p w14:paraId="602E6EF1">
      <w:pPr>
        <w:pStyle w:val="233"/>
        <w:numPr>
          <w:ilvl w:val="0"/>
          <w:numId w:val="0"/>
        </w:numPr>
        <w:spacing w:before="156" w:after="156"/>
        <w:ind w:left="623"/>
      </w:pPr>
    </w:p>
    <w:p w14:paraId="7062FF25">
      <w:pPr>
        <w:pStyle w:val="233"/>
        <w:numPr>
          <w:ilvl w:val="0"/>
          <w:numId w:val="0"/>
        </w:numPr>
        <w:spacing w:before="156" w:after="156"/>
        <w:ind w:left="623"/>
      </w:pPr>
    </w:p>
    <w:p w14:paraId="20E3285A">
      <w:pPr>
        <w:pStyle w:val="233"/>
        <w:numPr>
          <w:ilvl w:val="0"/>
          <w:numId w:val="0"/>
        </w:numPr>
        <w:spacing w:before="156" w:after="156"/>
        <w:ind w:left="623"/>
      </w:pPr>
    </w:p>
    <w:p w14:paraId="458FCC8D">
      <w:pPr>
        <w:pStyle w:val="233"/>
        <w:numPr>
          <w:ilvl w:val="0"/>
          <w:numId w:val="0"/>
        </w:numPr>
        <w:spacing w:before="156" w:after="156"/>
        <w:ind w:left="623"/>
      </w:pPr>
    </w:p>
    <w:p w14:paraId="38A71E7B">
      <w:pPr>
        <w:pStyle w:val="230"/>
      </w:pPr>
    </w:p>
    <w:p w14:paraId="7E4925AD">
      <w:pPr>
        <w:pStyle w:val="233"/>
        <w:numPr>
          <w:ilvl w:val="0"/>
          <w:numId w:val="0"/>
        </w:numPr>
        <w:spacing w:before="156" w:after="156"/>
        <w:ind w:left="623"/>
        <w:rPr>
          <w:rFonts w:ascii="Times New Roman"/>
        </w:rPr>
      </w:pPr>
    </w:p>
    <w:p w14:paraId="57376B9C">
      <w:pPr>
        <w:pStyle w:val="233"/>
        <w:numPr>
          <w:ilvl w:val="0"/>
          <w:numId w:val="0"/>
        </w:numPr>
        <w:spacing w:before="156" w:after="156"/>
        <w:ind w:left="623"/>
        <w:rPr>
          <w:rFonts w:ascii="Times New Roman"/>
        </w:rPr>
      </w:pPr>
    </w:p>
    <w:p w14:paraId="42AB0F57">
      <w:pPr>
        <w:pStyle w:val="233"/>
        <w:numPr>
          <w:ilvl w:val="0"/>
          <w:numId w:val="0"/>
        </w:numPr>
        <w:spacing w:before="156" w:after="156"/>
        <w:ind w:left="623"/>
        <w:rPr>
          <w:rFonts w:hint="eastAsia" w:ascii="Times New Roman"/>
        </w:rPr>
      </w:pPr>
    </w:p>
    <w:p w14:paraId="32DB7D51">
      <w:pPr>
        <w:pStyle w:val="233"/>
        <w:numPr>
          <w:ilvl w:val="0"/>
          <w:numId w:val="0"/>
        </w:numPr>
        <w:spacing w:before="156" w:after="156"/>
        <w:ind w:left="623"/>
        <w:rPr>
          <w:rFonts w:hint="eastAsia" w:ascii="Times New Roman"/>
        </w:rPr>
      </w:pPr>
    </w:p>
    <w:p w14:paraId="3D9641AF">
      <w:pPr>
        <w:pStyle w:val="233"/>
        <w:numPr>
          <w:ilvl w:val="0"/>
          <w:numId w:val="0"/>
        </w:numPr>
        <w:spacing w:before="156" w:after="156"/>
        <w:ind w:left="623"/>
        <w:rPr>
          <w:rFonts w:hint="eastAsia" w:ascii="Times New Roman"/>
        </w:rPr>
      </w:pPr>
    </w:p>
    <w:p w14:paraId="3BD0C253">
      <w:pPr>
        <w:pStyle w:val="233"/>
        <w:numPr>
          <w:ilvl w:val="0"/>
          <w:numId w:val="0"/>
        </w:numPr>
        <w:spacing w:before="156" w:after="156"/>
        <w:ind w:left="623"/>
        <w:rPr>
          <w:rFonts w:hint="eastAsia" w:ascii="Times New Roman"/>
        </w:rPr>
      </w:pPr>
    </w:p>
    <w:p w14:paraId="05CF7F3C">
      <w:pPr>
        <w:pStyle w:val="233"/>
        <w:numPr>
          <w:ilvl w:val="0"/>
          <w:numId w:val="0"/>
        </w:numPr>
        <w:spacing w:before="156" w:after="156"/>
        <w:ind w:left="623"/>
        <w:rPr>
          <w:rFonts w:hint="eastAsia" w:ascii="Times New Roman"/>
        </w:rPr>
      </w:pPr>
    </w:p>
    <w:p w14:paraId="70210FB3">
      <w:pPr>
        <w:pStyle w:val="233"/>
        <w:numPr>
          <w:ilvl w:val="0"/>
          <w:numId w:val="0"/>
        </w:numPr>
        <w:spacing w:before="156" w:after="156"/>
        <w:ind w:left="623"/>
        <w:rPr>
          <w:rFonts w:hint="eastAsia" w:ascii="Times New Roman"/>
        </w:rPr>
      </w:pPr>
    </w:p>
    <w:p w14:paraId="4CC109CA">
      <w:pPr>
        <w:pStyle w:val="233"/>
        <w:numPr>
          <w:ilvl w:val="0"/>
          <w:numId w:val="0"/>
        </w:numPr>
        <w:spacing w:before="156" w:after="156"/>
        <w:ind w:left="623"/>
        <w:rPr>
          <w:rFonts w:hint="eastAsia" w:ascii="Times New Roman"/>
        </w:rPr>
      </w:pPr>
    </w:p>
    <w:p w14:paraId="081B82C8">
      <w:pPr>
        <w:pStyle w:val="230"/>
        <w:rPr>
          <w:rFonts w:hint="eastAsia" w:ascii="Times New Roman"/>
        </w:rPr>
      </w:pPr>
    </w:p>
    <w:p w14:paraId="25C417D6">
      <w:pPr>
        <w:pStyle w:val="230"/>
        <w:rPr>
          <w:rFonts w:hint="eastAsia" w:ascii="Times New Roman"/>
        </w:rPr>
      </w:pPr>
    </w:p>
    <w:p w14:paraId="734B887C">
      <w:pPr>
        <w:pStyle w:val="230"/>
        <w:rPr>
          <w:rFonts w:hint="eastAsia" w:ascii="Times New Roman"/>
        </w:rPr>
      </w:pPr>
    </w:p>
    <w:p w14:paraId="0EA9E523">
      <w:pPr>
        <w:pStyle w:val="230"/>
        <w:rPr>
          <w:rFonts w:hint="eastAsia" w:ascii="Times New Roman"/>
        </w:rPr>
      </w:pPr>
    </w:p>
    <w:p w14:paraId="3B6B389B">
      <w:pPr>
        <w:pStyle w:val="230"/>
        <w:rPr>
          <w:rFonts w:hint="eastAsia" w:ascii="Times New Roman"/>
        </w:rPr>
      </w:pPr>
    </w:p>
    <w:p w14:paraId="23F13BB4">
      <w:pPr>
        <w:pStyle w:val="230"/>
        <w:rPr>
          <w:rFonts w:hint="eastAsia" w:ascii="Times New Roman"/>
        </w:rPr>
      </w:pPr>
    </w:p>
    <w:p w14:paraId="2D19B5C4">
      <w:pPr>
        <w:pStyle w:val="230"/>
        <w:rPr>
          <w:rFonts w:hint="eastAsia" w:ascii="Times New Roman"/>
        </w:rPr>
      </w:pPr>
    </w:p>
    <w:p w14:paraId="25737DB5">
      <w:pPr>
        <w:pStyle w:val="230"/>
        <w:rPr>
          <w:rFonts w:hint="eastAsia" w:ascii="Times New Roman"/>
        </w:rPr>
      </w:pPr>
    </w:p>
    <w:p w14:paraId="71A9F3A6">
      <w:pPr>
        <w:pStyle w:val="230"/>
        <w:rPr>
          <w:rFonts w:hint="eastAsia" w:ascii="Times New Roman"/>
        </w:rPr>
      </w:pPr>
    </w:p>
    <w:p w14:paraId="329B9BC1">
      <w:pPr>
        <w:pStyle w:val="230"/>
        <w:rPr>
          <w:rFonts w:hint="eastAsia" w:ascii="Times New Roman"/>
        </w:rPr>
      </w:pPr>
    </w:p>
    <w:p w14:paraId="131B6529">
      <w:pPr>
        <w:pStyle w:val="230"/>
        <w:rPr>
          <w:rFonts w:hint="eastAsia" w:ascii="Times New Roman"/>
        </w:rPr>
      </w:pPr>
    </w:p>
    <w:p w14:paraId="671C143C">
      <w:pPr>
        <w:pStyle w:val="230"/>
        <w:rPr>
          <w:rFonts w:hint="eastAsia" w:ascii="Times New Roman"/>
        </w:rPr>
      </w:pPr>
    </w:p>
    <w:p w14:paraId="18906C3A">
      <w:pPr>
        <w:pStyle w:val="230"/>
        <w:rPr>
          <w:rFonts w:hint="eastAsia" w:ascii="Times New Roman"/>
        </w:rPr>
      </w:pPr>
    </w:p>
    <w:p w14:paraId="3FC82D11">
      <w:pPr>
        <w:pStyle w:val="230"/>
        <w:rPr>
          <w:rFonts w:hint="eastAsia" w:ascii="Times New Roman"/>
        </w:rPr>
      </w:pPr>
    </w:p>
    <w:p w14:paraId="76155F66">
      <w:pPr>
        <w:pStyle w:val="230"/>
        <w:rPr>
          <w:rFonts w:hint="eastAsia" w:ascii="Times New Roman"/>
        </w:rPr>
      </w:pPr>
    </w:p>
    <w:p w14:paraId="6F3B5B2D">
      <w:pPr>
        <w:pStyle w:val="230"/>
        <w:rPr>
          <w:rFonts w:hint="eastAsia" w:ascii="Times New Roman"/>
        </w:rPr>
      </w:pPr>
    </w:p>
    <w:p w14:paraId="4D41E2F5">
      <w:pPr>
        <w:keepNext w:val="0"/>
        <w:keepLines w:val="0"/>
        <w:widowControl/>
        <w:suppressLineNumbers w:val="0"/>
        <w:jc w:val="center"/>
      </w:pPr>
      <w:r>
        <w:rPr>
          <w:rFonts w:ascii="黑体" w:hAnsi="宋体" w:eastAsia="黑体" w:cs="黑体"/>
          <w:color w:val="000000"/>
          <w:kern w:val="0"/>
          <w:sz w:val="20"/>
          <w:szCs w:val="20"/>
          <w:lang w:val="en-US" w:eastAsia="zh-CN" w:bidi="ar"/>
        </w:rPr>
        <w:t xml:space="preserve">附 录 </w:t>
      </w:r>
      <w:r>
        <w:rPr>
          <w:rFonts w:hint="eastAsia" w:ascii="黑体" w:hAnsi="宋体" w:eastAsia="黑体" w:cs="黑体"/>
          <w:color w:val="000000"/>
          <w:kern w:val="0"/>
          <w:sz w:val="20"/>
          <w:szCs w:val="20"/>
          <w:lang w:val="en-US" w:eastAsia="zh-CN" w:bidi="ar"/>
        </w:rPr>
        <w:t>A</w:t>
      </w:r>
    </w:p>
    <w:p w14:paraId="35A7726E">
      <w:pPr>
        <w:keepNext w:val="0"/>
        <w:keepLines w:val="0"/>
        <w:widowControl/>
        <w:suppressLineNumbers w:val="0"/>
        <w:jc w:val="center"/>
        <w:rPr>
          <w:rFonts w:hint="eastAsia" w:ascii="黑体" w:hAnsi="宋体" w:eastAsia="黑体" w:cs="黑体"/>
          <w:color w:val="000000"/>
          <w:kern w:val="0"/>
          <w:sz w:val="20"/>
          <w:szCs w:val="20"/>
          <w:lang w:val="en-US" w:eastAsia="zh-CN" w:bidi="ar"/>
        </w:rPr>
      </w:pPr>
      <w:r>
        <w:rPr>
          <w:rFonts w:hint="eastAsia" w:ascii="黑体" w:hAnsi="宋体" w:eastAsia="黑体" w:cs="黑体"/>
          <w:color w:val="000000"/>
          <w:kern w:val="0"/>
          <w:sz w:val="20"/>
          <w:szCs w:val="20"/>
          <w:lang w:val="en-US" w:eastAsia="zh-CN" w:bidi="ar"/>
        </w:rPr>
        <w:t>（规范性）</w:t>
      </w:r>
    </w:p>
    <w:p w14:paraId="5414F657">
      <w:pPr>
        <w:keepNext w:val="0"/>
        <w:keepLines w:val="0"/>
        <w:widowControl/>
        <w:suppressLineNumbers w:val="0"/>
        <w:jc w:val="center"/>
        <w:rPr>
          <w:rFonts w:hint="eastAsia" w:ascii="黑体" w:hAnsi="宋体" w:eastAsia="黑体" w:cs="黑体"/>
          <w:color w:val="000000"/>
          <w:kern w:val="0"/>
          <w:sz w:val="20"/>
          <w:szCs w:val="20"/>
          <w:lang w:val="en-US" w:eastAsia="zh-CN" w:bidi="ar"/>
        </w:rPr>
      </w:pPr>
      <w:r>
        <w:rPr>
          <w:rFonts w:hint="eastAsia" w:ascii="黑体" w:hAnsi="Times New Roman" w:eastAsia="黑体"/>
        </w:rPr>
        <w:t>甜瓜滴灌追施肥料用量</w:t>
      </w:r>
    </w:p>
    <w:p w14:paraId="1CACCD0A">
      <w:pPr>
        <w:numPr>
          <w:numId w:val="0"/>
        </w:numPr>
        <w:tabs>
          <w:tab w:val="left" w:pos="360"/>
        </w:tabs>
        <w:spacing w:before="156" w:beforeLines="50" w:after="156" w:afterLines="50"/>
        <w:ind w:leftChars="0"/>
        <w:jc w:val="center"/>
        <w:rPr>
          <w:rFonts w:ascii="黑体" w:hAnsi="Times New Roman" w:eastAsia="黑体"/>
        </w:rPr>
      </w:pPr>
      <w:r>
        <w:rPr>
          <w:rFonts w:hint="eastAsia" w:ascii="黑体" w:hAnsi="宋体" w:eastAsia="黑体" w:cs="黑体"/>
          <w:color w:val="000000"/>
          <w:kern w:val="0"/>
          <w:sz w:val="20"/>
          <w:szCs w:val="20"/>
          <w:lang w:val="en-US" w:eastAsia="zh-CN" w:bidi="ar"/>
        </w:rPr>
        <w:t xml:space="preserve">表A.1 </w:t>
      </w:r>
      <w:r>
        <w:rPr>
          <w:rFonts w:hint="eastAsia" w:ascii="黑体" w:hAnsi="Times New Roman" w:eastAsia="黑体"/>
        </w:rPr>
        <w:t>甜瓜滴灌追施肥料用量（</w:t>
      </w:r>
      <w:r>
        <w:rPr>
          <w:rFonts w:hint="eastAsia" w:ascii="Times New Roman" w:hAnsi="Times New Roman" w:eastAsia="黑体"/>
        </w:rPr>
        <w:t>kg/667 m</w:t>
      </w:r>
      <w:r>
        <w:rPr>
          <w:rFonts w:hint="eastAsia" w:ascii="Times New Roman" w:hAnsi="Times New Roman" w:eastAsia="黑体"/>
          <w:vertAlign w:val="superscript"/>
        </w:rPr>
        <w:t>2</w:t>
      </w:r>
      <w:r>
        <w:rPr>
          <w:rFonts w:hint="eastAsia" w:ascii="黑体" w:hAnsi="Times New Roman" w:eastAsia="黑体"/>
        </w:rPr>
        <w:t>）</w:t>
      </w:r>
    </w:p>
    <w:tbl>
      <w:tblPr>
        <w:tblStyle w:val="2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870"/>
        <w:gridCol w:w="870"/>
        <w:gridCol w:w="870"/>
        <w:gridCol w:w="870"/>
        <w:gridCol w:w="870"/>
        <w:gridCol w:w="870"/>
        <w:gridCol w:w="870"/>
        <w:gridCol w:w="870"/>
        <w:gridCol w:w="870"/>
        <w:gridCol w:w="870"/>
      </w:tblGrid>
      <w:tr w14:paraId="7B265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740" w:type="dxa"/>
            <w:gridSpan w:val="2"/>
            <w:vMerge w:val="restart"/>
            <w:tcBorders>
              <w:top w:val="single" w:color="auto" w:sz="8" w:space="0"/>
            </w:tcBorders>
            <w:vAlign w:val="center"/>
          </w:tcPr>
          <w:p w14:paraId="638E79ED">
            <w:pPr>
              <w:adjustRightInd/>
              <w:spacing w:line="240" w:lineRule="auto"/>
              <w:jc w:val="center"/>
              <w:rPr>
                <w:rFonts w:ascii="宋体" w:hAnsi="Times New Roman"/>
                <w:sz w:val="18"/>
                <w:szCs w:val="24"/>
              </w:rPr>
            </w:pPr>
            <w:r>
              <w:rPr>
                <w:rFonts w:hint="eastAsia" w:ascii="Times New Roman" w:hAnsi="Times New Roman"/>
                <w:sz w:val="18"/>
                <w:szCs w:val="24"/>
              </w:rPr>
              <w:t>追肥时期</w:t>
            </w:r>
          </w:p>
        </w:tc>
        <w:tc>
          <w:tcPr>
            <w:tcW w:w="2610" w:type="dxa"/>
            <w:gridSpan w:val="3"/>
            <w:tcBorders>
              <w:top w:val="single" w:color="auto" w:sz="8" w:space="0"/>
              <w:bottom w:val="single" w:color="auto" w:sz="8" w:space="0"/>
            </w:tcBorders>
            <w:vAlign w:val="center"/>
          </w:tcPr>
          <w:p w14:paraId="4F1A700C">
            <w:pPr>
              <w:adjustRightInd/>
              <w:spacing w:line="240" w:lineRule="auto"/>
              <w:jc w:val="center"/>
              <w:rPr>
                <w:rFonts w:ascii="宋体" w:hAnsi="Times New Roman"/>
                <w:sz w:val="18"/>
                <w:szCs w:val="24"/>
              </w:rPr>
            </w:pPr>
            <w:r>
              <w:rPr>
                <w:rFonts w:hint="eastAsia" w:ascii="Times New Roman" w:hAnsi="Times New Roman"/>
                <w:sz w:val="18"/>
                <w:szCs w:val="24"/>
              </w:rPr>
              <w:t>尿素</w:t>
            </w:r>
          </w:p>
        </w:tc>
        <w:tc>
          <w:tcPr>
            <w:tcW w:w="2610" w:type="dxa"/>
            <w:gridSpan w:val="3"/>
            <w:tcBorders>
              <w:top w:val="single" w:color="auto" w:sz="8" w:space="0"/>
              <w:bottom w:val="single" w:color="auto" w:sz="8" w:space="0"/>
            </w:tcBorders>
            <w:vAlign w:val="center"/>
          </w:tcPr>
          <w:p w14:paraId="5D0008F7">
            <w:pPr>
              <w:adjustRightInd/>
              <w:spacing w:line="240" w:lineRule="auto"/>
              <w:jc w:val="center"/>
              <w:rPr>
                <w:rFonts w:ascii="宋体" w:hAnsi="Times New Roman"/>
                <w:sz w:val="18"/>
                <w:szCs w:val="24"/>
              </w:rPr>
            </w:pPr>
            <w:r>
              <w:rPr>
                <w:rFonts w:hint="eastAsia" w:ascii="Times New Roman" w:hAnsi="Times New Roman"/>
                <w:sz w:val="18"/>
                <w:szCs w:val="24"/>
              </w:rPr>
              <w:t>磷酸一铵</w:t>
            </w:r>
          </w:p>
        </w:tc>
        <w:tc>
          <w:tcPr>
            <w:tcW w:w="2610" w:type="dxa"/>
            <w:gridSpan w:val="3"/>
            <w:tcBorders>
              <w:top w:val="single" w:color="auto" w:sz="8" w:space="0"/>
              <w:bottom w:val="single" w:color="auto" w:sz="8" w:space="0"/>
            </w:tcBorders>
            <w:vAlign w:val="center"/>
          </w:tcPr>
          <w:p w14:paraId="63BCDB9C">
            <w:pPr>
              <w:adjustRightInd/>
              <w:spacing w:line="240" w:lineRule="auto"/>
              <w:jc w:val="center"/>
              <w:rPr>
                <w:rFonts w:ascii="宋体" w:hAnsi="Times New Roman"/>
                <w:sz w:val="18"/>
                <w:szCs w:val="24"/>
              </w:rPr>
            </w:pPr>
            <w:r>
              <w:rPr>
                <w:rFonts w:hint="eastAsia" w:ascii="Times New Roman" w:hAnsi="Times New Roman"/>
                <w:sz w:val="18"/>
                <w:szCs w:val="24"/>
              </w:rPr>
              <w:t>硫酸钾</w:t>
            </w:r>
          </w:p>
        </w:tc>
      </w:tr>
      <w:tr w14:paraId="1D642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740" w:type="dxa"/>
            <w:gridSpan w:val="2"/>
            <w:vMerge w:val="continue"/>
            <w:vAlign w:val="center"/>
          </w:tcPr>
          <w:p w14:paraId="6E65BEB9">
            <w:pPr>
              <w:adjustRightInd/>
              <w:spacing w:line="240" w:lineRule="auto"/>
              <w:jc w:val="center"/>
              <w:rPr>
                <w:rFonts w:ascii="宋体" w:hAnsi="Times New Roman"/>
                <w:sz w:val="18"/>
                <w:szCs w:val="24"/>
              </w:rPr>
            </w:pPr>
          </w:p>
        </w:tc>
        <w:tc>
          <w:tcPr>
            <w:tcW w:w="870" w:type="dxa"/>
            <w:tcBorders>
              <w:top w:val="single" w:color="auto" w:sz="8" w:space="0"/>
            </w:tcBorders>
            <w:vAlign w:val="center"/>
          </w:tcPr>
          <w:p w14:paraId="7A86E15D">
            <w:pPr>
              <w:adjustRightInd/>
              <w:spacing w:line="240" w:lineRule="auto"/>
              <w:jc w:val="center"/>
              <w:rPr>
                <w:rFonts w:ascii="宋体" w:hAnsi="Times New Roman"/>
                <w:sz w:val="18"/>
                <w:szCs w:val="24"/>
              </w:rPr>
            </w:pPr>
            <w:r>
              <w:rPr>
                <w:rFonts w:hint="eastAsia" w:ascii="Times New Roman" w:hAnsi="Times New Roman"/>
                <w:sz w:val="18"/>
                <w:szCs w:val="24"/>
              </w:rPr>
              <w:t>高</w:t>
            </w:r>
          </w:p>
        </w:tc>
        <w:tc>
          <w:tcPr>
            <w:tcW w:w="870" w:type="dxa"/>
            <w:tcBorders>
              <w:top w:val="single" w:color="auto" w:sz="8" w:space="0"/>
            </w:tcBorders>
            <w:vAlign w:val="center"/>
          </w:tcPr>
          <w:p w14:paraId="0311E8DE">
            <w:pPr>
              <w:adjustRightInd/>
              <w:spacing w:line="240" w:lineRule="auto"/>
              <w:jc w:val="center"/>
              <w:rPr>
                <w:rFonts w:ascii="宋体" w:hAnsi="Times New Roman"/>
                <w:sz w:val="18"/>
                <w:szCs w:val="24"/>
              </w:rPr>
            </w:pPr>
            <w:r>
              <w:rPr>
                <w:rFonts w:hint="eastAsia" w:ascii="Times New Roman" w:hAnsi="Times New Roman"/>
                <w:sz w:val="18"/>
                <w:szCs w:val="24"/>
              </w:rPr>
              <w:t>中</w:t>
            </w:r>
          </w:p>
        </w:tc>
        <w:tc>
          <w:tcPr>
            <w:tcW w:w="870" w:type="dxa"/>
            <w:tcBorders>
              <w:top w:val="single" w:color="auto" w:sz="8" w:space="0"/>
            </w:tcBorders>
            <w:vAlign w:val="center"/>
          </w:tcPr>
          <w:p w14:paraId="765CB3B4">
            <w:pPr>
              <w:adjustRightInd/>
              <w:spacing w:line="240" w:lineRule="auto"/>
              <w:jc w:val="center"/>
              <w:rPr>
                <w:rFonts w:ascii="宋体" w:hAnsi="Times New Roman"/>
                <w:sz w:val="18"/>
                <w:szCs w:val="24"/>
              </w:rPr>
            </w:pPr>
            <w:r>
              <w:rPr>
                <w:rFonts w:hint="eastAsia" w:ascii="Times New Roman" w:hAnsi="Times New Roman"/>
                <w:sz w:val="18"/>
                <w:szCs w:val="24"/>
              </w:rPr>
              <w:t>低</w:t>
            </w:r>
          </w:p>
        </w:tc>
        <w:tc>
          <w:tcPr>
            <w:tcW w:w="870" w:type="dxa"/>
            <w:tcBorders>
              <w:top w:val="single" w:color="auto" w:sz="8" w:space="0"/>
            </w:tcBorders>
            <w:vAlign w:val="center"/>
          </w:tcPr>
          <w:p w14:paraId="606C67D0">
            <w:pPr>
              <w:adjustRightInd/>
              <w:spacing w:line="240" w:lineRule="auto"/>
              <w:jc w:val="center"/>
              <w:rPr>
                <w:rFonts w:ascii="宋体" w:hAnsi="Times New Roman"/>
                <w:sz w:val="18"/>
                <w:szCs w:val="24"/>
              </w:rPr>
            </w:pPr>
            <w:r>
              <w:rPr>
                <w:rFonts w:hint="eastAsia" w:ascii="Times New Roman" w:hAnsi="Times New Roman"/>
                <w:sz w:val="18"/>
                <w:szCs w:val="24"/>
              </w:rPr>
              <w:t>高</w:t>
            </w:r>
          </w:p>
        </w:tc>
        <w:tc>
          <w:tcPr>
            <w:tcW w:w="870" w:type="dxa"/>
            <w:tcBorders>
              <w:top w:val="single" w:color="auto" w:sz="8" w:space="0"/>
            </w:tcBorders>
            <w:vAlign w:val="center"/>
          </w:tcPr>
          <w:p w14:paraId="5BC8C881">
            <w:pPr>
              <w:adjustRightInd/>
              <w:spacing w:line="240" w:lineRule="auto"/>
              <w:jc w:val="center"/>
              <w:rPr>
                <w:rFonts w:ascii="宋体" w:hAnsi="Times New Roman"/>
                <w:sz w:val="18"/>
                <w:szCs w:val="24"/>
              </w:rPr>
            </w:pPr>
            <w:r>
              <w:rPr>
                <w:rFonts w:hint="eastAsia" w:ascii="Times New Roman" w:hAnsi="Times New Roman"/>
                <w:sz w:val="18"/>
                <w:szCs w:val="24"/>
              </w:rPr>
              <w:t>中</w:t>
            </w:r>
          </w:p>
        </w:tc>
        <w:tc>
          <w:tcPr>
            <w:tcW w:w="870" w:type="dxa"/>
            <w:tcBorders>
              <w:top w:val="single" w:color="auto" w:sz="8" w:space="0"/>
            </w:tcBorders>
            <w:vAlign w:val="center"/>
          </w:tcPr>
          <w:p w14:paraId="69B525B6">
            <w:pPr>
              <w:adjustRightInd/>
              <w:spacing w:line="240" w:lineRule="auto"/>
              <w:jc w:val="center"/>
              <w:rPr>
                <w:rFonts w:ascii="宋体" w:hAnsi="Times New Roman"/>
                <w:sz w:val="18"/>
                <w:szCs w:val="24"/>
              </w:rPr>
            </w:pPr>
            <w:r>
              <w:rPr>
                <w:rFonts w:hint="eastAsia" w:ascii="Times New Roman" w:hAnsi="Times New Roman"/>
                <w:sz w:val="18"/>
                <w:szCs w:val="24"/>
              </w:rPr>
              <w:t>低</w:t>
            </w:r>
          </w:p>
        </w:tc>
        <w:tc>
          <w:tcPr>
            <w:tcW w:w="870" w:type="dxa"/>
            <w:tcBorders>
              <w:top w:val="single" w:color="auto" w:sz="8" w:space="0"/>
            </w:tcBorders>
            <w:vAlign w:val="center"/>
          </w:tcPr>
          <w:p w14:paraId="7D526409">
            <w:pPr>
              <w:adjustRightInd/>
              <w:spacing w:line="240" w:lineRule="auto"/>
              <w:jc w:val="center"/>
              <w:rPr>
                <w:rFonts w:ascii="宋体" w:hAnsi="Times New Roman"/>
                <w:sz w:val="18"/>
                <w:szCs w:val="24"/>
              </w:rPr>
            </w:pPr>
            <w:r>
              <w:rPr>
                <w:rFonts w:hint="eastAsia" w:ascii="Times New Roman" w:hAnsi="Times New Roman"/>
                <w:sz w:val="18"/>
                <w:szCs w:val="24"/>
              </w:rPr>
              <w:t>高</w:t>
            </w:r>
          </w:p>
        </w:tc>
        <w:tc>
          <w:tcPr>
            <w:tcW w:w="870" w:type="dxa"/>
            <w:tcBorders>
              <w:top w:val="single" w:color="auto" w:sz="8" w:space="0"/>
            </w:tcBorders>
            <w:vAlign w:val="center"/>
          </w:tcPr>
          <w:p w14:paraId="1C8E7B88">
            <w:pPr>
              <w:adjustRightInd/>
              <w:spacing w:line="240" w:lineRule="auto"/>
              <w:jc w:val="center"/>
              <w:rPr>
                <w:rFonts w:ascii="宋体" w:hAnsi="Times New Roman"/>
                <w:sz w:val="18"/>
                <w:szCs w:val="24"/>
              </w:rPr>
            </w:pPr>
            <w:r>
              <w:rPr>
                <w:rFonts w:hint="eastAsia" w:ascii="Times New Roman" w:hAnsi="Times New Roman"/>
                <w:sz w:val="18"/>
                <w:szCs w:val="24"/>
              </w:rPr>
              <w:t>中</w:t>
            </w:r>
          </w:p>
        </w:tc>
        <w:tc>
          <w:tcPr>
            <w:tcW w:w="870" w:type="dxa"/>
            <w:tcBorders>
              <w:top w:val="single" w:color="auto" w:sz="8" w:space="0"/>
            </w:tcBorders>
            <w:vAlign w:val="center"/>
          </w:tcPr>
          <w:p w14:paraId="17BD9D48">
            <w:pPr>
              <w:adjustRightInd/>
              <w:spacing w:line="240" w:lineRule="auto"/>
              <w:jc w:val="center"/>
              <w:rPr>
                <w:rFonts w:ascii="宋体" w:hAnsi="Times New Roman"/>
                <w:sz w:val="18"/>
                <w:szCs w:val="24"/>
              </w:rPr>
            </w:pPr>
            <w:r>
              <w:rPr>
                <w:rFonts w:hint="eastAsia" w:ascii="Times New Roman" w:hAnsi="Times New Roman"/>
                <w:sz w:val="18"/>
                <w:szCs w:val="24"/>
              </w:rPr>
              <w:t>低</w:t>
            </w:r>
          </w:p>
        </w:tc>
      </w:tr>
      <w:tr w14:paraId="3FE35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tcBorders>
              <w:bottom w:val="single" w:color="auto" w:sz="4" w:space="0"/>
            </w:tcBorders>
            <w:vAlign w:val="center"/>
          </w:tcPr>
          <w:p w14:paraId="51481FB8">
            <w:pPr>
              <w:adjustRightInd/>
              <w:spacing w:line="240" w:lineRule="auto"/>
              <w:jc w:val="center"/>
              <w:rPr>
                <w:rFonts w:ascii="宋体" w:hAnsi="Times New Roman"/>
                <w:sz w:val="18"/>
                <w:szCs w:val="24"/>
              </w:rPr>
            </w:pPr>
            <w:r>
              <w:rPr>
                <w:rFonts w:hint="eastAsia" w:ascii="Times New Roman" w:hAnsi="Times New Roman"/>
                <w:sz w:val="18"/>
                <w:szCs w:val="24"/>
              </w:rPr>
              <w:t>苗期</w:t>
            </w:r>
          </w:p>
        </w:tc>
        <w:tc>
          <w:tcPr>
            <w:tcW w:w="870" w:type="dxa"/>
            <w:tcBorders>
              <w:bottom w:val="single" w:color="auto" w:sz="4" w:space="0"/>
            </w:tcBorders>
            <w:vAlign w:val="center"/>
          </w:tcPr>
          <w:p w14:paraId="18AB506E">
            <w:pPr>
              <w:adjustRightInd/>
              <w:spacing w:line="240" w:lineRule="auto"/>
              <w:jc w:val="center"/>
              <w:rPr>
                <w:rFonts w:ascii="宋体" w:hAnsi="Times New Roman"/>
                <w:sz w:val="18"/>
                <w:szCs w:val="24"/>
              </w:rPr>
            </w:pPr>
            <w:r>
              <w:rPr>
                <w:rFonts w:hint="eastAsia" w:ascii="Times New Roman" w:hAnsi="Times New Roman"/>
                <w:sz w:val="18"/>
                <w:szCs w:val="24"/>
              </w:rPr>
              <w:t>第1次</w:t>
            </w:r>
          </w:p>
        </w:tc>
        <w:tc>
          <w:tcPr>
            <w:tcW w:w="870" w:type="dxa"/>
            <w:tcBorders>
              <w:bottom w:val="single" w:color="auto" w:sz="4" w:space="0"/>
            </w:tcBorders>
            <w:vAlign w:val="center"/>
          </w:tcPr>
          <w:p w14:paraId="531BF657">
            <w:pPr>
              <w:adjustRightInd/>
              <w:spacing w:line="240" w:lineRule="auto"/>
              <w:jc w:val="center"/>
              <w:rPr>
                <w:rFonts w:ascii="宋体" w:hAnsi="Times New Roman"/>
                <w:sz w:val="18"/>
                <w:szCs w:val="24"/>
              </w:rPr>
            </w:pPr>
            <w:r>
              <w:rPr>
                <w:rFonts w:hint="eastAsia" w:ascii="Times New Roman" w:hAnsi="Times New Roman"/>
                <w:sz w:val="18"/>
                <w:szCs w:val="24"/>
              </w:rPr>
              <w:t>2～2.4</w:t>
            </w:r>
          </w:p>
        </w:tc>
        <w:tc>
          <w:tcPr>
            <w:tcW w:w="870" w:type="dxa"/>
            <w:tcBorders>
              <w:bottom w:val="single" w:color="auto" w:sz="4" w:space="0"/>
            </w:tcBorders>
            <w:vAlign w:val="center"/>
          </w:tcPr>
          <w:p w14:paraId="6F4B396D">
            <w:pPr>
              <w:adjustRightInd/>
              <w:spacing w:line="240" w:lineRule="auto"/>
              <w:jc w:val="center"/>
              <w:rPr>
                <w:rFonts w:ascii="宋体" w:hAnsi="Times New Roman"/>
                <w:sz w:val="18"/>
                <w:szCs w:val="24"/>
              </w:rPr>
            </w:pPr>
            <w:r>
              <w:rPr>
                <w:rFonts w:hint="eastAsia" w:ascii="Times New Roman" w:hAnsi="Times New Roman"/>
                <w:sz w:val="18"/>
                <w:szCs w:val="24"/>
              </w:rPr>
              <w:t>2.4～3</w:t>
            </w:r>
          </w:p>
        </w:tc>
        <w:tc>
          <w:tcPr>
            <w:tcW w:w="870" w:type="dxa"/>
            <w:tcBorders>
              <w:bottom w:val="single" w:color="auto" w:sz="4" w:space="0"/>
            </w:tcBorders>
            <w:vAlign w:val="center"/>
          </w:tcPr>
          <w:p w14:paraId="24A88D4D">
            <w:pPr>
              <w:adjustRightInd/>
              <w:spacing w:line="240" w:lineRule="auto"/>
              <w:jc w:val="center"/>
              <w:rPr>
                <w:rFonts w:ascii="宋体" w:hAnsi="Times New Roman"/>
                <w:sz w:val="18"/>
                <w:szCs w:val="24"/>
              </w:rPr>
            </w:pPr>
            <w:r>
              <w:rPr>
                <w:rFonts w:hint="eastAsia" w:ascii="Times New Roman" w:hAnsi="Times New Roman"/>
                <w:sz w:val="18"/>
                <w:szCs w:val="24"/>
              </w:rPr>
              <w:t>3～3.5</w:t>
            </w:r>
          </w:p>
        </w:tc>
        <w:tc>
          <w:tcPr>
            <w:tcW w:w="870" w:type="dxa"/>
            <w:tcBorders>
              <w:bottom w:val="single" w:color="auto" w:sz="4" w:space="0"/>
            </w:tcBorders>
            <w:vAlign w:val="center"/>
          </w:tcPr>
          <w:p w14:paraId="215BC292">
            <w:pPr>
              <w:adjustRightInd/>
              <w:spacing w:line="240" w:lineRule="auto"/>
              <w:jc w:val="center"/>
              <w:rPr>
                <w:rFonts w:ascii="宋体" w:hAnsi="Times New Roman"/>
                <w:sz w:val="18"/>
                <w:szCs w:val="24"/>
              </w:rPr>
            </w:pPr>
            <w:r>
              <w:rPr>
                <w:rFonts w:hint="eastAsia" w:ascii="Times New Roman" w:hAnsi="Times New Roman"/>
                <w:sz w:val="18"/>
                <w:szCs w:val="24"/>
              </w:rPr>
              <w:t>1</w:t>
            </w:r>
            <w:r>
              <w:rPr>
                <w:rFonts w:hint="eastAsia" w:ascii="宋体" w:hAnsi="宋体"/>
                <w:sz w:val="18"/>
                <w:szCs w:val="24"/>
              </w:rPr>
              <w:t>～</w:t>
            </w:r>
            <w:r>
              <w:rPr>
                <w:rFonts w:hint="eastAsia" w:ascii="Times New Roman" w:hAnsi="Times New Roman"/>
                <w:sz w:val="18"/>
                <w:szCs w:val="24"/>
              </w:rPr>
              <w:t>2</w:t>
            </w:r>
          </w:p>
        </w:tc>
        <w:tc>
          <w:tcPr>
            <w:tcW w:w="870" w:type="dxa"/>
            <w:tcBorders>
              <w:bottom w:val="single" w:color="auto" w:sz="4" w:space="0"/>
            </w:tcBorders>
            <w:vAlign w:val="center"/>
          </w:tcPr>
          <w:p w14:paraId="3608694E">
            <w:pPr>
              <w:adjustRightInd/>
              <w:spacing w:line="240" w:lineRule="auto"/>
              <w:jc w:val="center"/>
              <w:rPr>
                <w:rFonts w:ascii="宋体" w:hAnsi="Times New Roman"/>
                <w:sz w:val="18"/>
                <w:szCs w:val="24"/>
              </w:rPr>
            </w:pPr>
            <w:r>
              <w:rPr>
                <w:rFonts w:hint="eastAsia" w:ascii="Times New Roman" w:hAnsi="Times New Roman"/>
                <w:sz w:val="18"/>
                <w:szCs w:val="24"/>
              </w:rPr>
              <w:t>3</w:t>
            </w:r>
            <w:r>
              <w:rPr>
                <w:rFonts w:hint="eastAsia" w:ascii="宋体" w:hAnsi="宋体"/>
                <w:sz w:val="18"/>
                <w:szCs w:val="24"/>
              </w:rPr>
              <w:t>～</w:t>
            </w:r>
            <w:r>
              <w:rPr>
                <w:rFonts w:hint="eastAsia" w:ascii="Times New Roman" w:hAnsi="Times New Roman"/>
                <w:sz w:val="18"/>
                <w:szCs w:val="24"/>
              </w:rPr>
              <w:t>4</w:t>
            </w:r>
          </w:p>
        </w:tc>
        <w:tc>
          <w:tcPr>
            <w:tcW w:w="870" w:type="dxa"/>
            <w:tcBorders>
              <w:bottom w:val="single" w:color="auto" w:sz="4" w:space="0"/>
            </w:tcBorders>
            <w:vAlign w:val="center"/>
          </w:tcPr>
          <w:p w14:paraId="5F95268D">
            <w:pPr>
              <w:adjustRightInd/>
              <w:spacing w:line="240" w:lineRule="auto"/>
              <w:jc w:val="center"/>
              <w:rPr>
                <w:rFonts w:ascii="宋体" w:hAnsi="Times New Roman"/>
                <w:sz w:val="18"/>
                <w:szCs w:val="24"/>
              </w:rPr>
            </w:pPr>
            <w:r>
              <w:rPr>
                <w:rFonts w:hint="eastAsia" w:ascii="Times New Roman" w:hAnsi="Times New Roman"/>
                <w:sz w:val="18"/>
                <w:szCs w:val="24"/>
              </w:rPr>
              <w:t>4～5</w:t>
            </w:r>
          </w:p>
        </w:tc>
        <w:tc>
          <w:tcPr>
            <w:tcW w:w="870" w:type="dxa"/>
            <w:tcBorders>
              <w:bottom w:val="single" w:color="auto" w:sz="4" w:space="0"/>
            </w:tcBorders>
            <w:vAlign w:val="center"/>
          </w:tcPr>
          <w:p w14:paraId="5A457CC1">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31AFE1FF">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392F9C6">
            <w:pPr>
              <w:adjustRightInd/>
              <w:spacing w:line="240" w:lineRule="auto"/>
              <w:jc w:val="center"/>
              <w:rPr>
                <w:rFonts w:ascii="宋体" w:hAnsi="Times New Roman"/>
                <w:sz w:val="18"/>
                <w:szCs w:val="24"/>
              </w:rPr>
            </w:pPr>
            <w:r>
              <w:rPr>
                <w:rFonts w:hint="eastAsia" w:ascii="宋体" w:hAnsi="Times New Roman"/>
                <w:sz w:val="18"/>
                <w:szCs w:val="24"/>
              </w:rPr>
              <w:t>/</w:t>
            </w:r>
          </w:p>
        </w:tc>
      </w:tr>
      <w:tr w14:paraId="5E61B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tcBorders>
              <w:bottom w:val="single" w:color="auto" w:sz="4" w:space="0"/>
            </w:tcBorders>
            <w:vAlign w:val="center"/>
          </w:tcPr>
          <w:p w14:paraId="67FB011A">
            <w:pPr>
              <w:adjustRightInd/>
              <w:spacing w:line="240" w:lineRule="auto"/>
              <w:jc w:val="center"/>
              <w:rPr>
                <w:rFonts w:ascii="宋体" w:hAnsi="Times New Roman"/>
                <w:sz w:val="18"/>
                <w:szCs w:val="24"/>
              </w:rPr>
            </w:pPr>
            <w:r>
              <w:rPr>
                <w:rFonts w:hint="eastAsia" w:ascii="Times New Roman" w:hAnsi="Times New Roman"/>
                <w:sz w:val="18"/>
                <w:szCs w:val="24"/>
              </w:rPr>
              <w:t>伸蔓期</w:t>
            </w:r>
          </w:p>
        </w:tc>
        <w:tc>
          <w:tcPr>
            <w:tcW w:w="870" w:type="dxa"/>
            <w:tcBorders>
              <w:bottom w:val="single" w:color="auto" w:sz="4" w:space="0"/>
            </w:tcBorders>
            <w:vAlign w:val="center"/>
          </w:tcPr>
          <w:p w14:paraId="759304DA">
            <w:pPr>
              <w:adjustRightInd/>
              <w:spacing w:line="240" w:lineRule="auto"/>
              <w:jc w:val="center"/>
              <w:rPr>
                <w:rFonts w:ascii="宋体" w:hAnsi="Times New Roman"/>
                <w:sz w:val="18"/>
                <w:szCs w:val="24"/>
              </w:rPr>
            </w:pPr>
            <w:r>
              <w:rPr>
                <w:rFonts w:hint="eastAsia" w:ascii="Times New Roman" w:hAnsi="Times New Roman"/>
                <w:sz w:val="18"/>
                <w:szCs w:val="24"/>
              </w:rPr>
              <w:t>第2次</w:t>
            </w:r>
          </w:p>
        </w:tc>
        <w:tc>
          <w:tcPr>
            <w:tcW w:w="870" w:type="dxa"/>
            <w:tcBorders>
              <w:bottom w:val="single" w:color="auto" w:sz="4" w:space="0"/>
            </w:tcBorders>
            <w:vAlign w:val="center"/>
          </w:tcPr>
          <w:p w14:paraId="2912502B">
            <w:pPr>
              <w:adjustRightInd/>
              <w:spacing w:line="240" w:lineRule="auto"/>
              <w:jc w:val="center"/>
              <w:rPr>
                <w:rFonts w:ascii="宋体" w:hAnsi="Times New Roman"/>
                <w:sz w:val="18"/>
                <w:szCs w:val="24"/>
              </w:rPr>
            </w:pPr>
            <w:r>
              <w:rPr>
                <w:rFonts w:hint="eastAsia" w:ascii="Times New Roman" w:hAnsi="Times New Roman"/>
                <w:sz w:val="18"/>
                <w:szCs w:val="24"/>
              </w:rPr>
              <w:t>3～3.6</w:t>
            </w:r>
          </w:p>
        </w:tc>
        <w:tc>
          <w:tcPr>
            <w:tcW w:w="870" w:type="dxa"/>
            <w:tcBorders>
              <w:bottom w:val="single" w:color="auto" w:sz="4" w:space="0"/>
            </w:tcBorders>
            <w:vAlign w:val="center"/>
          </w:tcPr>
          <w:p w14:paraId="60DEAEA9">
            <w:pPr>
              <w:adjustRightInd/>
              <w:spacing w:line="240" w:lineRule="auto"/>
              <w:jc w:val="center"/>
              <w:rPr>
                <w:rFonts w:ascii="宋体" w:hAnsi="Times New Roman"/>
                <w:sz w:val="18"/>
                <w:szCs w:val="24"/>
              </w:rPr>
            </w:pPr>
            <w:r>
              <w:rPr>
                <w:rFonts w:hint="eastAsia" w:ascii="Times New Roman" w:hAnsi="Times New Roman"/>
                <w:sz w:val="18"/>
                <w:szCs w:val="24"/>
              </w:rPr>
              <w:t>3.6～4</w:t>
            </w:r>
          </w:p>
        </w:tc>
        <w:tc>
          <w:tcPr>
            <w:tcW w:w="870" w:type="dxa"/>
            <w:tcBorders>
              <w:bottom w:val="single" w:color="auto" w:sz="4" w:space="0"/>
            </w:tcBorders>
            <w:vAlign w:val="center"/>
          </w:tcPr>
          <w:p w14:paraId="355BED12">
            <w:pPr>
              <w:adjustRightInd/>
              <w:spacing w:line="240" w:lineRule="auto"/>
              <w:jc w:val="center"/>
              <w:rPr>
                <w:rFonts w:ascii="宋体" w:hAnsi="Times New Roman"/>
                <w:sz w:val="18"/>
                <w:szCs w:val="24"/>
              </w:rPr>
            </w:pPr>
            <w:r>
              <w:rPr>
                <w:rFonts w:hint="eastAsia" w:ascii="Times New Roman" w:hAnsi="Times New Roman"/>
                <w:sz w:val="18"/>
                <w:szCs w:val="24"/>
              </w:rPr>
              <w:t>4～5</w:t>
            </w:r>
          </w:p>
        </w:tc>
        <w:tc>
          <w:tcPr>
            <w:tcW w:w="870" w:type="dxa"/>
            <w:tcBorders>
              <w:bottom w:val="single" w:color="auto" w:sz="4" w:space="0"/>
            </w:tcBorders>
            <w:vAlign w:val="center"/>
          </w:tcPr>
          <w:p w14:paraId="42650F23">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61A5135D">
            <w:pPr>
              <w:adjustRightInd/>
              <w:spacing w:line="240" w:lineRule="auto"/>
              <w:jc w:val="center"/>
              <w:rPr>
                <w:rFonts w:ascii="宋体" w:hAnsi="Times New Roman"/>
                <w:sz w:val="18"/>
                <w:szCs w:val="24"/>
              </w:rPr>
            </w:pPr>
            <w:r>
              <w:rPr>
                <w:rFonts w:hint="eastAsia" w:ascii="Times New Roman" w:hAnsi="Times New Roman"/>
                <w:sz w:val="18"/>
                <w:szCs w:val="24"/>
              </w:rPr>
              <w:t>2～3</w:t>
            </w:r>
          </w:p>
        </w:tc>
        <w:tc>
          <w:tcPr>
            <w:tcW w:w="870" w:type="dxa"/>
            <w:tcBorders>
              <w:bottom w:val="single" w:color="auto" w:sz="4" w:space="0"/>
            </w:tcBorders>
            <w:vAlign w:val="center"/>
          </w:tcPr>
          <w:p w14:paraId="520FD18A">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0860A075">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F419A90">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2D132AE2">
            <w:pPr>
              <w:adjustRightInd/>
              <w:spacing w:line="240" w:lineRule="auto"/>
              <w:jc w:val="center"/>
              <w:rPr>
                <w:rFonts w:ascii="宋体" w:hAnsi="Times New Roman"/>
                <w:sz w:val="18"/>
                <w:szCs w:val="24"/>
              </w:rPr>
            </w:pPr>
            <w:r>
              <w:rPr>
                <w:rFonts w:hint="eastAsia" w:ascii="宋体" w:hAnsi="Times New Roman"/>
                <w:sz w:val="18"/>
                <w:szCs w:val="24"/>
              </w:rPr>
              <w:t>/</w:t>
            </w:r>
          </w:p>
        </w:tc>
      </w:tr>
      <w:tr w14:paraId="6BE4C0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tcBorders>
              <w:bottom w:val="single" w:color="auto" w:sz="4" w:space="0"/>
            </w:tcBorders>
            <w:vAlign w:val="center"/>
          </w:tcPr>
          <w:p w14:paraId="11C91722">
            <w:pPr>
              <w:adjustRightInd/>
              <w:spacing w:line="240" w:lineRule="auto"/>
              <w:jc w:val="center"/>
              <w:rPr>
                <w:rFonts w:ascii="宋体" w:hAnsi="Times New Roman"/>
                <w:sz w:val="18"/>
                <w:szCs w:val="24"/>
              </w:rPr>
            </w:pPr>
            <w:r>
              <w:rPr>
                <w:rFonts w:hint="eastAsia" w:ascii="Times New Roman" w:hAnsi="Times New Roman"/>
                <w:sz w:val="18"/>
                <w:szCs w:val="24"/>
              </w:rPr>
              <w:t>花期</w:t>
            </w:r>
          </w:p>
        </w:tc>
        <w:tc>
          <w:tcPr>
            <w:tcW w:w="870" w:type="dxa"/>
            <w:tcBorders>
              <w:bottom w:val="single" w:color="auto" w:sz="4" w:space="0"/>
            </w:tcBorders>
            <w:vAlign w:val="center"/>
          </w:tcPr>
          <w:p w14:paraId="0E74B73A">
            <w:pPr>
              <w:adjustRightInd/>
              <w:spacing w:line="240" w:lineRule="auto"/>
              <w:jc w:val="center"/>
              <w:rPr>
                <w:rFonts w:ascii="宋体" w:hAnsi="Times New Roman"/>
                <w:sz w:val="18"/>
                <w:szCs w:val="24"/>
              </w:rPr>
            </w:pPr>
            <w:r>
              <w:rPr>
                <w:rFonts w:hint="eastAsia" w:ascii="Times New Roman" w:hAnsi="Times New Roman"/>
                <w:sz w:val="18"/>
                <w:szCs w:val="24"/>
              </w:rPr>
              <w:t>第3次</w:t>
            </w:r>
          </w:p>
        </w:tc>
        <w:tc>
          <w:tcPr>
            <w:tcW w:w="870" w:type="dxa"/>
            <w:tcBorders>
              <w:bottom w:val="single" w:color="auto" w:sz="4" w:space="0"/>
            </w:tcBorders>
            <w:vAlign w:val="center"/>
          </w:tcPr>
          <w:p w14:paraId="5C83E4CF">
            <w:pPr>
              <w:adjustRightInd/>
              <w:spacing w:line="240" w:lineRule="auto"/>
              <w:jc w:val="center"/>
              <w:rPr>
                <w:rFonts w:ascii="宋体" w:hAnsi="Times New Roman"/>
                <w:sz w:val="18"/>
                <w:szCs w:val="24"/>
              </w:rPr>
            </w:pPr>
            <w:r>
              <w:rPr>
                <w:rFonts w:hint="eastAsia" w:ascii="Times New Roman" w:hAnsi="Times New Roman"/>
                <w:sz w:val="18"/>
                <w:szCs w:val="24"/>
              </w:rPr>
              <w:t>3～3.6</w:t>
            </w:r>
          </w:p>
        </w:tc>
        <w:tc>
          <w:tcPr>
            <w:tcW w:w="870" w:type="dxa"/>
            <w:tcBorders>
              <w:bottom w:val="single" w:color="auto" w:sz="4" w:space="0"/>
            </w:tcBorders>
            <w:vAlign w:val="center"/>
          </w:tcPr>
          <w:p w14:paraId="1CDF1051">
            <w:pPr>
              <w:adjustRightInd/>
              <w:spacing w:line="240" w:lineRule="auto"/>
              <w:jc w:val="center"/>
              <w:rPr>
                <w:rFonts w:ascii="宋体" w:hAnsi="Times New Roman"/>
                <w:sz w:val="18"/>
                <w:szCs w:val="24"/>
              </w:rPr>
            </w:pPr>
            <w:r>
              <w:rPr>
                <w:rFonts w:hint="eastAsia" w:ascii="Times New Roman" w:hAnsi="Times New Roman"/>
                <w:sz w:val="18"/>
                <w:szCs w:val="24"/>
              </w:rPr>
              <w:t>3.6～4</w:t>
            </w:r>
          </w:p>
        </w:tc>
        <w:tc>
          <w:tcPr>
            <w:tcW w:w="870" w:type="dxa"/>
            <w:tcBorders>
              <w:bottom w:val="single" w:color="auto" w:sz="4" w:space="0"/>
            </w:tcBorders>
            <w:vAlign w:val="center"/>
          </w:tcPr>
          <w:p w14:paraId="502914EE">
            <w:pPr>
              <w:adjustRightInd/>
              <w:spacing w:line="240" w:lineRule="auto"/>
              <w:jc w:val="center"/>
              <w:rPr>
                <w:rFonts w:ascii="宋体" w:hAnsi="Times New Roman"/>
                <w:sz w:val="18"/>
                <w:szCs w:val="24"/>
              </w:rPr>
            </w:pPr>
            <w:r>
              <w:rPr>
                <w:rFonts w:hint="eastAsia" w:ascii="Times New Roman" w:hAnsi="Times New Roman"/>
                <w:sz w:val="18"/>
                <w:szCs w:val="24"/>
              </w:rPr>
              <w:t>4～5</w:t>
            </w:r>
          </w:p>
        </w:tc>
        <w:tc>
          <w:tcPr>
            <w:tcW w:w="870" w:type="dxa"/>
            <w:tcBorders>
              <w:bottom w:val="single" w:color="auto" w:sz="4" w:space="0"/>
            </w:tcBorders>
            <w:vAlign w:val="center"/>
          </w:tcPr>
          <w:p w14:paraId="257DC718">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7F4D5AE2">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BC08E2B">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7EA98C14">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00E224F">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74A38857">
            <w:pPr>
              <w:adjustRightInd/>
              <w:spacing w:line="240" w:lineRule="auto"/>
              <w:jc w:val="center"/>
              <w:rPr>
                <w:rFonts w:ascii="宋体" w:hAnsi="Times New Roman"/>
                <w:sz w:val="18"/>
                <w:szCs w:val="24"/>
              </w:rPr>
            </w:pPr>
            <w:r>
              <w:rPr>
                <w:rFonts w:hint="eastAsia" w:ascii="宋体" w:hAnsi="Times New Roman"/>
                <w:sz w:val="18"/>
                <w:szCs w:val="24"/>
              </w:rPr>
              <w:t>/</w:t>
            </w:r>
          </w:p>
        </w:tc>
      </w:tr>
      <w:tr w14:paraId="57FE9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vMerge w:val="restart"/>
            <w:vAlign w:val="center"/>
          </w:tcPr>
          <w:p w14:paraId="7969C9E1">
            <w:pPr>
              <w:adjustRightInd/>
              <w:spacing w:line="240" w:lineRule="auto"/>
              <w:jc w:val="center"/>
              <w:rPr>
                <w:rFonts w:ascii="宋体" w:hAnsi="Times New Roman"/>
                <w:sz w:val="18"/>
                <w:szCs w:val="24"/>
              </w:rPr>
            </w:pPr>
            <w:r>
              <w:rPr>
                <w:rFonts w:hint="eastAsia" w:ascii="Times New Roman" w:hAnsi="Times New Roman"/>
                <w:sz w:val="18"/>
                <w:szCs w:val="24"/>
              </w:rPr>
              <w:t>坐果期</w:t>
            </w:r>
          </w:p>
        </w:tc>
        <w:tc>
          <w:tcPr>
            <w:tcW w:w="870" w:type="dxa"/>
            <w:tcBorders>
              <w:bottom w:val="single" w:color="auto" w:sz="4" w:space="0"/>
            </w:tcBorders>
            <w:vAlign w:val="center"/>
          </w:tcPr>
          <w:p w14:paraId="78B4F712">
            <w:pPr>
              <w:adjustRightInd/>
              <w:spacing w:line="240" w:lineRule="auto"/>
              <w:jc w:val="center"/>
              <w:rPr>
                <w:rFonts w:ascii="宋体" w:hAnsi="Times New Roman"/>
                <w:sz w:val="18"/>
                <w:szCs w:val="24"/>
              </w:rPr>
            </w:pPr>
            <w:r>
              <w:rPr>
                <w:rFonts w:hint="eastAsia" w:ascii="Times New Roman" w:hAnsi="Times New Roman"/>
                <w:sz w:val="18"/>
                <w:szCs w:val="24"/>
              </w:rPr>
              <w:t>第4次</w:t>
            </w:r>
          </w:p>
        </w:tc>
        <w:tc>
          <w:tcPr>
            <w:tcW w:w="870" w:type="dxa"/>
            <w:tcBorders>
              <w:bottom w:val="single" w:color="auto" w:sz="4" w:space="0"/>
            </w:tcBorders>
            <w:vAlign w:val="center"/>
          </w:tcPr>
          <w:p w14:paraId="30826937">
            <w:pPr>
              <w:adjustRightInd/>
              <w:spacing w:line="240" w:lineRule="auto"/>
              <w:jc w:val="center"/>
              <w:rPr>
                <w:rFonts w:ascii="宋体" w:hAnsi="Times New Roman"/>
                <w:sz w:val="18"/>
                <w:szCs w:val="24"/>
              </w:rPr>
            </w:pPr>
            <w:r>
              <w:rPr>
                <w:rFonts w:hint="eastAsia" w:ascii="Times New Roman" w:hAnsi="Times New Roman"/>
                <w:sz w:val="18"/>
                <w:szCs w:val="24"/>
              </w:rPr>
              <w:t>3～3.8</w:t>
            </w:r>
          </w:p>
        </w:tc>
        <w:tc>
          <w:tcPr>
            <w:tcW w:w="870" w:type="dxa"/>
            <w:tcBorders>
              <w:bottom w:val="single" w:color="auto" w:sz="4" w:space="0"/>
            </w:tcBorders>
            <w:vAlign w:val="center"/>
          </w:tcPr>
          <w:p w14:paraId="7A53BDA5">
            <w:pPr>
              <w:adjustRightInd/>
              <w:spacing w:line="240" w:lineRule="auto"/>
              <w:jc w:val="center"/>
              <w:rPr>
                <w:rFonts w:ascii="宋体" w:hAnsi="Times New Roman"/>
                <w:sz w:val="18"/>
                <w:szCs w:val="24"/>
              </w:rPr>
            </w:pPr>
            <w:r>
              <w:rPr>
                <w:rFonts w:hint="eastAsia" w:ascii="Times New Roman" w:hAnsi="Times New Roman"/>
                <w:sz w:val="18"/>
                <w:szCs w:val="24"/>
              </w:rPr>
              <w:t>3.8～4.5</w:t>
            </w:r>
          </w:p>
        </w:tc>
        <w:tc>
          <w:tcPr>
            <w:tcW w:w="870" w:type="dxa"/>
            <w:tcBorders>
              <w:bottom w:val="single" w:color="auto" w:sz="4" w:space="0"/>
            </w:tcBorders>
            <w:vAlign w:val="center"/>
          </w:tcPr>
          <w:p w14:paraId="644E5C12">
            <w:pPr>
              <w:adjustRightInd/>
              <w:spacing w:line="240" w:lineRule="auto"/>
              <w:jc w:val="center"/>
              <w:rPr>
                <w:rFonts w:ascii="宋体" w:hAnsi="Times New Roman"/>
                <w:sz w:val="18"/>
                <w:szCs w:val="24"/>
              </w:rPr>
            </w:pPr>
            <w:r>
              <w:rPr>
                <w:rFonts w:hint="eastAsia" w:ascii="Times New Roman" w:hAnsi="Times New Roman"/>
                <w:sz w:val="18"/>
                <w:szCs w:val="24"/>
              </w:rPr>
              <w:t>4.5～5</w:t>
            </w:r>
          </w:p>
        </w:tc>
        <w:tc>
          <w:tcPr>
            <w:tcW w:w="870" w:type="dxa"/>
            <w:tcBorders>
              <w:bottom w:val="single" w:color="auto" w:sz="4" w:space="0"/>
            </w:tcBorders>
            <w:vAlign w:val="center"/>
          </w:tcPr>
          <w:p w14:paraId="71B972D6">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5E69731C">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2CAE611">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28272015">
            <w:pPr>
              <w:adjustRightInd/>
              <w:spacing w:line="240" w:lineRule="auto"/>
              <w:jc w:val="center"/>
              <w:rPr>
                <w:rFonts w:ascii="宋体" w:hAnsi="Times New Roman"/>
                <w:sz w:val="18"/>
                <w:szCs w:val="24"/>
              </w:rPr>
            </w:pPr>
            <w:r>
              <w:rPr>
                <w:rFonts w:hint="eastAsia" w:ascii="Times New Roman" w:hAnsi="Times New Roman"/>
                <w:sz w:val="18"/>
                <w:szCs w:val="24"/>
              </w:rPr>
              <w:t>2～3</w:t>
            </w:r>
          </w:p>
        </w:tc>
        <w:tc>
          <w:tcPr>
            <w:tcW w:w="870" w:type="dxa"/>
            <w:tcBorders>
              <w:bottom w:val="single" w:color="auto" w:sz="4" w:space="0"/>
            </w:tcBorders>
            <w:vAlign w:val="center"/>
          </w:tcPr>
          <w:p w14:paraId="180CEA06">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39A2E069">
            <w:pPr>
              <w:adjustRightInd/>
              <w:spacing w:line="240" w:lineRule="auto"/>
              <w:jc w:val="center"/>
              <w:rPr>
                <w:rFonts w:ascii="宋体" w:hAnsi="Times New Roman"/>
                <w:sz w:val="18"/>
                <w:szCs w:val="24"/>
              </w:rPr>
            </w:pPr>
            <w:r>
              <w:rPr>
                <w:rFonts w:hint="eastAsia" w:ascii="Times New Roman" w:hAnsi="Times New Roman"/>
                <w:sz w:val="18"/>
                <w:szCs w:val="24"/>
              </w:rPr>
              <w:t>4～5</w:t>
            </w:r>
          </w:p>
        </w:tc>
      </w:tr>
      <w:tr w14:paraId="7C369A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vMerge w:val="continue"/>
            <w:tcBorders>
              <w:bottom w:val="single" w:color="auto" w:sz="4" w:space="0"/>
            </w:tcBorders>
            <w:vAlign w:val="center"/>
          </w:tcPr>
          <w:p w14:paraId="00F5E1E3">
            <w:pPr>
              <w:adjustRightInd/>
              <w:spacing w:line="240" w:lineRule="auto"/>
              <w:jc w:val="center"/>
              <w:rPr>
                <w:rFonts w:ascii="宋体" w:hAnsi="Times New Roman"/>
                <w:sz w:val="18"/>
                <w:szCs w:val="24"/>
              </w:rPr>
            </w:pPr>
          </w:p>
        </w:tc>
        <w:tc>
          <w:tcPr>
            <w:tcW w:w="870" w:type="dxa"/>
            <w:tcBorders>
              <w:bottom w:val="single" w:color="auto" w:sz="4" w:space="0"/>
            </w:tcBorders>
            <w:vAlign w:val="center"/>
          </w:tcPr>
          <w:p w14:paraId="57C35A1A">
            <w:pPr>
              <w:adjustRightInd/>
              <w:spacing w:line="240" w:lineRule="auto"/>
              <w:jc w:val="center"/>
              <w:rPr>
                <w:rFonts w:ascii="Times New Roman" w:hAnsi="Times New Roman"/>
                <w:sz w:val="18"/>
                <w:szCs w:val="24"/>
              </w:rPr>
            </w:pPr>
            <w:r>
              <w:rPr>
                <w:rFonts w:hint="eastAsia" w:ascii="Times New Roman" w:hAnsi="Times New Roman"/>
                <w:sz w:val="18"/>
                <w:szCs w:val="24"/>
              </w:rPr>
              <w:t>第5次</w:t>
            </w:r>
          </w:p>
        </w:tc>
        <w:tc>
          <w:tcPr>
            <w:tcW w:w="870" w:type="dxa"/>
            <w:tcBorders>
              <w:bottom w:val="single" w:color="auto" w:sz="4" w:space="0"/>
            </w:tcBorders>
            <w:vAlign w:val="center"/>
          </w:tcPr>
          <w:p w14:paraId="29EBE3B6">
            <w:pPr>
              <w:adjustRightInd/>
              <w:spacing w:line="240" w:lineRule="auto"/>
              <w:jc w:val="center"/>
              <w:rPr>
                <w:rFonts w:ascii="宋体" w:hAnsi="Times New Roman"/>
                <w:sz w:val="18"/>
                <w:szCs w:val="24"/>
              </w:rPr>
            </w:pPr>
            <w:r>
              <w:rPr>
                <w:rFonts w:hint="eastAsia" w:ascii="Times New Roman" w:hAnsi="Times New Roman"/>
                <w:sz w:val="18"/>
                <w:szCs w:val="24"/>
              </w:rPr>
              <w:t>2～2.6</w:t>
            </w:r>
          </w:p>
        </w:tc>
        <w:tc>
          <w:tcPr>
            <w:tcW w:w="870" w:type="dxa"/>
            <w:tcBorders>
              <w:bottom w:val="single" w:color="auto" w:sz="4" w:space="0"/>
            </w:tcBorders>
            <w:vAlign w:val="center"/>
          </w:tcPr>
          <w:p w14:paraId="7C6DF5BA">
            <w:pPr>
              <w:adjustRightInd/>
              <w:spacing w:line="240" w:lineRule="auto"/>
              <w:jc w:val="center"/>
              <w:rPr>
                <w:rFonts w:ascii="宋体" w:hAnsi="Times New Roman"/>
                <w:sz w:val="18"/>
                <w:szCs w:val="24"/>
              </w:rPr>
            </w:pPr>
            <w:r>
              <w:rPr>
                <w:rFonts w:hint="eastAsia" w:ascii="Times New Roman" w:hAnsi="Times New Roman"/>
                <w:sz w:val="18"/>
                <w:szCs w:val="24"/>
              </w:rPr>
              <w:t>2.6～3</w:t>
            </w:r>
          </w:p>
        </w:tc>
        <w:tc>
          <w:tcPr>
            <w:tcW w:w="870" w:type="dxa"/>
            <w:tcBorders>
              <w:bottom w:val="single" w:color="auto" w:sz="4" w:space="0"/>
            </w:tcBorders>
            <w:vAlign w:val="center"/>
          </w:tcPr>
          <w:p w14:paraId="4EF1E286">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2F65D6DC">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2068193D">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F0B5E93">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4DA4CE76">
            <w:pPr>
              <w:adjustRightInd/>
              <w:spacing w:line="240" w:lineRule="auto"/>
              <w:jc w:val="center"/>
              <w:rPr>
                <w:rFonts w:ascii="宋体" w:hAnsi="Times New Roman"/>
                <w:sz w:val="18"/>
                <w:szCs w:val="24"/>
              </w:rPr>
            </w:pPr>
            <w:r>
              <w:rPr>
                <w:rFonts w:hint="eastAsia" w:ascii="Times New Roman" w:hAnsi="Times New Roman"/>
                <w:sz w:val="18"/>
                <w:szCs w:val="24"/>
              </w:rPr>
              <w:t>2～3</w:t>
            </w:r>
          </w:p>
        </w:tc>
        <w:tc>
          <w:tcPr>
            <w:tcW w:w="870" w:type="dxa"/>
            <w:tcBorders>
              <w:bottom w:val="single" w:color="auto" w:sz="4" w:space="0"/>
            </w:tcBorders>
            <w:vAlign w:val="center"/>
          </w:tcPr>
          <w:p w14:paraId="650ACFFE">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40DF0C5B">
            <w:pPr>
              <w:adjustRightInd/>
              <w:spacing w:line="240" w:lineRule="auto"/>
              <w:jc w:val="center"/>
              <w:rPr>
                <w:rFonts w:ascii="宋体" w:hAnsi="Times New Roman"/>
                <w:sz w:val="18"/>
                <w:szCs w:val="24"/>
              </w:rPr>
            </w:pPr>
            <w:r>
              <w:rPr>
                <w:rFonts w:hint="eastAsia" w:ascii="Times New Roman" w:hAnsi="Times New Roman"/>
                <w:sz w:val="18"/>
                <w:szCs w:val="24"/>
              </w:rPr>
              <w:t>4～5</w:t>
            </w:r>
          </w:p>
        </w:tc>
      </w:tr>
      <w:tr w14:paraId="7F18A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vMerge w:val="restart"/>
            <w:vAlign w:val="center"/>
          </w:tcPr>
          <w:p w14:paraId="572C44EB">
            <w:pPr>
              <w:adjustRightInd/>
              <w:spacing w:line="240" w:lineRule="auto"/>
              <w:jc w:val="center"/>
              <w:rPr>
                <w:rFonts w:ascii="宋体" w:hAnsi="Times New Roman"/>
                <w:sz w:val="18"/>
                <w:szCs w:val="24"/>
              </w:rPr>
            </w:pPr>
            <w:r>
              <w:rPr>
                <w:rFonts w:hint="eastAsia" w:ascii="Times New Roman" w:hAnsi="Times New Roman"/>
                <w:sz w:val="18"/>
                <w:szCs w:val="24"/>
              </w:rPr>
              <w:t>膨大期</w:t>
            </w:r>
          </w:p>
        </w:tc>
        <w:tc>
          <w:tcPr>
            <w:tcW w:w="870" w:type="dxa"/>
            <w:tcBorders>
              <w:bottom w:val="single" w:color="auto" w:sz="4" w:space="0"/>
            </w:tcBorders>
            <w:vAlign w:val="center"/>
          </w:tcPr>
          <w:p w14:paraId="2C826D23">
            <w:pPr>
              <w:adjustRightInd/>
              <w:spacing w:line="240" w:lineRule="auto"/>
              <w:jc w:val="center"/>
              <w:rPr>
                <w:rFonts w:ascii="宋体" w:hAnsi="Times New Roman"/>
                <w:sz w:val="18"/>
                <w:szCs w:val="24"/>
              </w:rPr>
            </w:pPr>
            <w:r>
              <w:rPr>
                <w:rFonts w:hint="eastAsia" w:ascii="Times New Roman" w:hAnsi="Times New Roman"/>
                <w:sz w:val="18"/>
                <w:szCs w:val="24"/>
              </w:rPr>
              <w:t>第6次</w:t>
            </w:r>
          </w:p>
        </w:tc>
        <w:tc>
          <w:tcPr>
            <w:tcW w:w="870" w:type="dxa"/>
            <w:tcBorders>
              <w:bottom w:val="single" w:color="auto" w:sz="4" w:space="0"/>
            </w:tcBorders>
            <w:vAlign w:val="center"/>
          </w:tcPr>
          <w:p w14:paraId="58507E16">
            <w:pPr>
              <w:adjustRightInd/>
              <w:spacing w:line="240" w:lineRule="auto"/>
              <w:jc w:val="center"/>
              <w:rPr>
                <w:rFonts w:ascii="宋体" w:hAnsi="Times New Roman"/>
                <w:sz w:val="18"/>
                <w:szCs w:val="24"/>
              </w:rPr>
            </w:pPr>
            <w:r>
              <w:rPr>
                <w:rFonts w:hint="eastAsia" w:ascii="Times New Roman" w:hAnsi="Times New Roman"/>
                <w:sz w:val="18"/>
                <w:szCs w:val="24"/>
              </w:rPr>
              <w:t>2～2.6</w:t>
            </w:r>
          </w:p>
        </w:tc>
        <w:tc>
          <w:tcPr>
            <w:tcW w:w="870" w:type="dxa"/>
            <w:tcBorders>
              <w:bottom w:val="single" w:color="auto" w:sz="4" w:space="0"/>
            </w:tcBorders>
            <w:vAlign w:val="center"/>
          </w:tcPr>
          <w:p w14:paraId="4FB55789">
            <w:pPr>
              <w:adjustRightInd/>
              <w:spacing w:line="240" w:lineRule="auto"/>
              <w:jc w:val="center"/>
              <w:rPr>
                <w:rFonts w:ascii="宋体" w:hAnsi="Times New Roman"/>
                <w:sz w:val="18"/>
                <w:szCs w:val="24"/>
              </w:rPr>
            </w:pPr>
            <w:r>
              <w:rPr>
                <w:rFonts w:hint="eastAsia" w:ascii="Times New Roman" w:hAnsi="Times New Roman"/>
                <w:sz w:val="18"/>
                <w:szCs w:val="24"/>
              </w:rPr>
              <w:t>2.6～3</w:t>
            </w:r>
          </w:p>
        </w:tc>
        <w:tc>
          <w:tcPr>
            <w:tcW w:w="870" w:type="dxa"/>
            <w:tcBorders>
              <w:bottom w:val="single" w:color="auto" w:sz="4" w:space="0"/>
            </w:tcBorders>
            <w:vAlign w:val="center"/>
          </w:tcPr>
          <w:p w14:paraId="5CC628E8">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006FC577">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ED57FE6">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0A8A6C10">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bottom w:val="single" w:color="auto" w:sz="4" w:space="0"/>
            </w:tcBorders>
            <w:vAlign w:val="center"/>
          </w:tcPr>
          <w:p w14:paraId="2E8CF1FF">
            <w:pPr>
              <w:adjustRightInd/>
              <w:spacing w:line="240" w:lineRule="auto"/>
              <w:jc w:val="center"/>
              <w:rPr>
                <w:rFonts w:ascii="宋体" w:hAnsi="Times New Roman"/>
                <w:sz w:val="18"/>
                <w:szCs w:val="24"/>
              </w:rPr>
            </w:pPr>
            <w:r>
              <w:rPr>
                <w:rFonts w:hint="eastAsia" w:ascii="Times New Roman" w:hAnsi="Times New Roman"/>
                <w:sz w:val="18"/>
                <w:szCs w:val="24"/>
              </w:rPr>
              <w:t>3～4</w:t>
            </w:r>
          </w:p>
        </w:tc>
        <w:tc>
          <w:tcPr>
            <w:tcW w:w="870" w:type="dxa"/>
            <w:tcBorders>
              <w:bottom w:val="single" w:color="auto" w:sz="4" w:space="0"/>
            </w:tcBorders>
            <w:vAlign w:val="center"/>
          </w:tcPr>
          <w:p w14:paraId="6E43DAA9">
            <w:pPr>
              <w:adjustRightInd/>
              <w:spacing w:line="240" w:lineRule="auto"/>
              <w:jc w:val="center"/>
              <w:rPr>
                <w:rFonts w:ascii="宋体" w:hAnsi="Times New Roman"/>
                <w:sz w:val="18"/>
                <w:szCs w:val="24"/>
              </w:rPr>
            </w:pPr>
            <w:r>
              <w:rPr>
                <w:rFonts w:hint="eastAsia" w:ascii="Times New Roman" w:hAnsi="Times New Roman"/>
                <w:sz w:val="18"/>
                <w:szCs w:val="24"/>
              </w:rPr>
              <w:t>4</w:t>
            </w:r>
            <w:r>
              <w:rPr>
                <w:rFonts w:hint="eastAsia" w:ascii="宋体" w:hAnsi="宋体"/>
                <w:sz w:val="18"/>
                <w:szCs w:val="24"/>
              </w:rPr>
              <w:t>～</w:t>
            </w:r>
            <w:r>
              <w:rPr>
                <w:rFonts w:hint="eastAsia" w:ascii="Times New Roman" w:hAnsi="Times New Roman"/>
                <w:sz w:val="18"/>
                <w:szCs w:val="24"/>
              </w:rPr>
              <w:t>5</w:t>
            </w:r>
          </w:p>
        </w:tc>
        <w:tc>
          <w:tcPr>
            <w:tcW w:w="870" w:type="dxa"/>
            <w:tcBorders>
              <w:bottom w:val="single" w:color="auto" w:sz="4" w:space="0"/>
            </w:tcBorders>
            <w:vAlign w:val="center"/>
          </w:tcPr>
          <w:p w14:paraId="0DB98B95">
            <w:pPr>
              <w:adjustRightInd/>
              <w:spacing w:line="240" w:lineRule="auto"/>
              <w:jc w:val="center"/>
              <w:rPr>
                <w:rFonts w:ascii="宋体" w:hAnsi="Times New Roman"/>
                <w:sz w:val="18"/>
                <w:szCs w:val="24"/>
              </w:rPr>
            </w:pPr>
            <w:r>
              <w:rPr>
                <w:rFonts w:hint="eastAsia" w:ascii="Times New Roman" w:hAnsi="Times New Roman"/>
                <w:sz w:val="18"/>
                <w:szCs w:val="24"/>
              </w:rPr>
              <w:t>5～6</w:t>
            </w:r>
          </w:p>
        </w:tc>
      </w:tr>
      <w:tr w14:paraId="363309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70" w:type="dxa"/>
            <w:vMerge w:val="continue"/>
            <w:tcBorders>
              <w:bottom w:val="single" w:color="auto" w:sz="8" w:space="0"/>
            </w:tcBorders>
            <w:vAlign w:val="center"/>
          </w:tcPr>
          <w:p w14:paraId="2F71CF5D">
            <w:pPr>
              <w:adjustRightInd/>
              <w:spacing w:line="240" w:lineRule="auto"/>
              <w:jc w:val="center"/>
              <w:rPr>
                <w:rFonts w:ascii="宋体" w:hAnsi="Times New Roman"/>
                <w:sz w:val="18"/>
                <w:szCs w:val="24"/>
              </w:rPr>
            </w:pPr>
          </w:p>
        </w:tc>
        <w:tc>
          <w:tcPr>
            <w:tcW w:w="870" w:type="dxa"/>
            <w:tcBorders>
              <w:top w:val="single" w:color="auto" w:sz="4" w:space="0"/>
              <w:bottom w:val="single" w:color="auto" w:sz="8" w:space="0"/>
            </w:tcBorders>
            <w:vAlign w:val="center"/>
          </w:tcPr>
          <w:p w14:paraId="4DAF6651">
            <w:pPr>
              <w:adjustRightInd/>
              <w:spacing w:line="240" w:lineRule="auto"/>
              <w:jc w:val="center"/>
              <w:rPr>
                <w:rFonts w:ascii="宋体" w:hAnsi="Times New Roman"/>
                <w:sz w:val="18"/>
                <w:szCs w:val="24"/>
              </w:rPr>
            </w:pPr>
            <w:r>
              <w:rPr>
                <w:rFonts w:hint="eastAsia" w:ascii="Times New Roman" w:hAnsi="Times New Roman"/>
                <w:sz w:val="18"/>
                <w:szCs w:val="24"/>
              </w:rPr>
              <w:t>第7次</w:t>
            </w:r>
          </w:p>
        </w:tc>
        <w:tc>
          <w:tcPr>
            <w:tcW w:w="870" w:type="dxa"/>
            <w:tcBorders>
              <w:top w:val="single" w:color="auto" w:sz="4" w:space="0"/>
              <w:bottom w:val="single" w:color="auto" w:sz="8" w:space="0"/>
            </w:tcBorders>
            <w:vAlign w:val="center"/>
          </w:tcPr>
          <w:p w14:paraId="28A7F3B9">
            <w:pPr>
              <w:adjustRightInd/>
              <w:spacing w:line="240" w:lineRule="auto"/>
              <w:jc w:val="center"/>
              <w:rPr>
                <w:rFonts w:ascii="宋体" w:hAnsi="Times New Roman"/>
                <w:sz w:val="18"/>
                <w:szCs w:val="24"/>
              </w:rPr>
            </w:pPr>
            <w:r>
              <w:rPr>
                <w:rFonts w:hint="eastAsia" w:ascii="Times New Roman" w:hAnsi="Times New Roman"/>
                <w:sz w:val="18"/>
                <w:szCs w:val="24"/>
              </w:rPr>
              <w:t>2～2.4</w:t>
            </w:r>
          </w:p>
        </w:tc>
        <w:tc>
          <w:tcPr>
            <w:tcW w:w="870" w:type="dxa"/>
            <w:tcBorders>
              <w:top w:val="single" w:color="auto" w:sz="4" w:space="0"/>
              <w:bottom w:val="single" w:color="auto" w:sz="8" w:space="0"/>
            </w:tcBorders>
            <w:vAlign w:val="center"/>
          </w:tcPr>
          <w:p w14:paraId="0D291FF8">
            <w:pPr>
              <w:adjustRightInd/>
              <w:spacing w:line="240" w:lineRule="auto"/>
              <w:jc w:val="center"/>
              <w:rPr>
                <w:rFonts w:ascii="宋体" w:hAnsi="Times New Roman"/>
                <w:sz w:val="18"/>
                <w:szCs w:val="24"/>
              </w:rPr>
            </w:pPr>
            <w:r>
              <w:rPr>
                <w:rFonts w:hint="eastAsia" w:ascii="Times New Roman" w:hAnsi="Times New Roman"/>
                <w:sz w:val="18"/>
                <w:szCs w:val="24"/>
              </w:rPr>
              <w:t>2.4～3</w:t>
            </w:r>
          </w:p>
        </w:tc>
        <w:tc>
          <w:tcPr>
            <w:tcW w:w="870" w:type="dxa"/>
            <w:tcBorders>
              <w:top w:val="single" w:color="auto" w:sz="4" w:space="0"/>
              <w:bottom w:val="single" w:color="auto" w:sz="8" w:space="0"/>
            </w:tcBorders>
            <w:vAlign w:val="center"/>
          </w:tcPr>
          <w:p w14:paraId="40C997B9">
            <w:pPr>
              <w:adjustRightInd/>
              <w:spacing w:line="240" w:lineRule="auto"/>
              <w:jc w:val="center"/>
              <w:rPr>
                <w:rFonts w:ascii="宋体" w:hAnsi="Times New Roman"/>
                <w:sz w:val="18"/>
                <w:szCs w:val="24"/>
              </w:rPr>
            </w:pPr>
            <w:r>
              <w:rPr>
                <w:rFonts w:hint="eastAsia" w:ascii="Times New Roman" w:hAnsi="Times New Roman"/>
                <w:sz w:val="18"/>
                <w:szCs w:val="24"/>
              </w:rPr>
              <w:t>3～3.5</w:t>
            </w:r>
          </w:p>
        </w:tc>
        <w:tc>
          <w:tcPr>
            <w:tcW w:w="870" w:type="dxa"/>
            <w:tcBorders>
              <w:top w:val="single" w:color="auto" w:sz="4" w:space="0"/>
              <w:bottom w:val="single" w:color="auto" w:sz="8" w:space="0"/>
            </w:tcBorders>
            <w:vAlign w:val="center"/>
          </w:tcPr>
          <w:p w14:paraId="436774C0">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top w:val="single" w:color="auto" w:sz="4" w:space="0"/>
              <w:bottom w:val="single" w:color="auto" w:sz="8" w:space="0"/>
            </w:tcBorders>
            <w:vAlign w:val="center"/>
          </w:tcPr>
          <w:p w14:paraId="208A70A7">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top w:val="single" w:color="auto" w:sz="4" w:space="0"/>
              <w:bottom w:val="single" w:color="auto" w:sz="8" w:space="0"/>
            </w:tcBorders>
            <w:vAlign w:val="center"/>
          </w:tcPr>
          <w:p w14:paraId="10243A2E">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top w:val="single" w:color="auto" w:sz="4" w:space="0"/>
              <w:bottom w:val="single" w:color="auto" w:sz="8" w:space="0"/>
            </w:tcBorders>
            <w:vAlign w:val="center"/>
          </w:tcPr>
          <w:p w14:paraId="683D4D9C">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top w:val="single" w:color="auto" w:sz="4" w:space="0"/>
              <w:bottom w:val="single" w:color="auto" w:sz="8" w:space="0"/>
            </w:tcBorders>
            <w:vAlign w:val="center"/>
          </w:tcPr>
          <w:p w14:paraId="141E0B5A">
            <w:pPr>
              <w:adjustRightInd/>
              <w:spacing w:line="240" w:lineRule="auto"/>
              <w:jc w:val="center"/>
              <w:rPr>
                <w:rFonts w:ascii="宋体" w:hAnsi="Times New Roman"/>
                <w:sz w:val="18"/>
                <w:szCs w:val="24"/>
              </w:rPr>
            </w:pPr>
            <w:r>
              <w:rPr>
                <w:rFonts w:hint="eastAsia" w:ascii="宋体" w:hAnsi="Times New Roman"/>
                <w:sz w:val="18"/>
                <w:szCs w:val="24"/>
              </w:rPr>
              <w:t>/</w:t>
            </w:r>
          </w:p>
        </w:tc>
        <w:tc>
          <w:tcPr>
            <w:tcW w:w="870" w:type="dxa"/>
            <w:tcBorders>
              <w:top w:val="single" w:color="auto" w:sz="4" w:space="0"/>
              <w:bottom w:val="single" w:color="auto" w:sz="8" w:space="0"/>
            </w:tcBorders>
            <w:vAlign w:val="center"/>
          </w:tcPr>
          <w:p w14:paraId="48D23008">
            <w:pPr>
              <w:adjustRightInd/>
              <w:spacing w:line="240" w:lineRule="auto"/>
              <w:jc w:val="center"/>
              <w:rPr>
                <w:rFonts w:ascii="宋体" w:hAnsi="Times New Roman"/>
                <w:sz w:val="18"/>
                <w:szCs w:val="24"/>
              </w:rPr>
            </w:pPr>
            <w:r>
              <w:rPr>
                <w:rFonts w:hint="eastAsia" w:ascii="宋体" w:hAnsi="Times New Roman"/>
                <w:sz w:val="18"/>
                <w:szCs w:val="24"/>
              </w:rPr>
              <w:t>/</w:t>
            </w:r>
          </w:p>
        </w:tc>
      </w:tr>
      <w:tr w14:paraId="3B141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11"/>
            <w:tcBorders>
              <w:top w:val="single" w:color="auto" w:sz="8" w:space="0"/>
            </w:tcBorders>
            <w:vAlign w:val="center"/>
          </w:tcPr>
          <w:p w14:paraId="05F65086">
            <w:pPr>
              <w:adjustRightInd/>
              <w:spacing w:line="240" w:lineRule="auto"/>
              <w:jc w:val="left"/>
              <w:rPr>
                <w:rFonts w:ascii="宋体" w:hAnsi="Times New Roman"/>
                <w:sz w:val="18"/>
                <w:szCs w:val="24"/>
              </w:rPr>
            </w:pPr>
            <w:r>
              <w:rPr>
                <w:rFonts w:hint="eastAsia" w:ascii="Times New Roman" w:hAnsi="Times New Roman"/>
                <w:szCs w:val="18"/>
              </w:rPr>
              <w:t>注：尿素46%N，磷酸一铵60%P</w:t>
            </w:r>
            <w:r>
              <w:rPr>
                <w:rFonts w:hint="eastAsia" w:ascii="Times New Roman" w:hAnsi="Times New Roman"/>
                <w:szCs w:val="18"/>
                <w:vertAlign w:val="subscript"/>
              </w:rPr>
              <w:t>2</w:t>
            </w:r>
            <w:r>
              <w:rPr>
                <w:rFonts w:hint="eastAsia" w:ascii="Times New Roman" w:hAnsi="Times New Roman"/>
                <w:szCs w:val="18"/>
              </w:rPr>
              <w:t>O</w:t>
            </w:r>
            <w:r>
              <w:rPr>
                <w:rFonts w:hint="eastAsia" w:ascii="Times New Roman" w:hAnsi="Times New Roman"/>
                <w:szCs w:val="18"/>
                <w:vertAlign w:val="subscript"/>
              </w:rPr>
              <w:t>5</w:t>
            </w:r>
            <w:r>
              <w:rPr>
                <w:rFonts w:hint="eastAsia" w:ascii="Times New Roman" w:hAnsi="Times New Roman"/>
                <w:szCs w:val="18"/>
              </w:rPr>
              <w:t>—12%N，硫酸钾51%K</w:t>
            </w:r>
            <w:r>
              <w:rPr>
                <w:rFonts w:hint="eastAsia" w:ascii="Times New Roman" w:hAnsi="Times New Roman"/>
                <w:szCs w:val="18"/>
                <w:vertAlign w:val="subscript"/>
              </w:rPr>
              <w:t>2</w:t>
            </w:r>
            <w:r>
              <w:rPr>
                <w:rFonts w:hint="eastAsia" w:ascii="Times New Roman" w:hAnsi="Times New Roman"/>
                <w:szCs w:val="18"/>
              </w:rPr>
              <w:t>O</w:t>
            </w:r>
          </w:p>
        </w:tc>
      </w:tr>
    </w:tbl>
    <w:p w14:paraId="7EE0F33E">
      <w:pPr>
        <w:widowControl/>
        <w:tabs>
          <w:tab w:val="center" w:pos="4201"/>
          <w:tab w:val="right" w:leader="dot" w:pos="9298"/>
        </w:tabs>
        <w:autoSpaceDE w:val="0"/>
        <w:autoSpaceDN w:val="0"/>
        <w:rPr>
          <w:rFonts w:ascii="宋体"/>
          <w:szCs w:val="20"/>
        </w:rPr>
      </w:pPr>
    </w:p>
    <w:p w14:paraId="3E0C7409">
      <w:pPr>
        <w:keepNext w:val="0"/>
        <w:keepLines w:val="0"/>
        <w:widowControl/>
        <w:suppressLineNumbers w:val="0"/>
        <w:jc w:val="center"/>
        <w:rPr>
          <w:rFonts w:ascii="黑体" w:hAnsi="宋体" w:eastAsia="黑体" w:cs="黑体"/>
          <w:color w:val="000000"/>
          <w:kern w:val="0"/>
          <w:sz w:val="20"/>
          <w:szCs w:val="20"/>
          <w:lang w:val="en-US" w:eastAsia="zh-CN" w:bidi="ar"/>
        </w:rPr>
      </w:pPr>
    </w:p>
    <w:p w14:paraId="2355FC10">
      <w:pPr>
        <w:keepNext w:val="0"/>
        <w:keepLines w:val="0"/>
        <w:widowControl/>
        <w:suppressLineNumbers w:val="0"/>
        <w:jc w:val="center"/>
        <w:rPr>
          <w:rFonts w:ascii="黑体" w:hAnsi="宋体" w:eastAsia="黑体" w:cs="黑体"/>
          <w:color w:val="000000"/>
          <w:kern w:val="0"/>
          <w:sz w:val="20"/>
          <w:szCs w:val="20"/>
          <w:lang w:val="en-US" w:eastAsia="zh-CN" w:bidi="ar"/>
        </w:rPr>
      </w:pPr>
    </w:p>
    <w:p w14:paraId="13D8AFF0">
      <w:pPr>
        <w:keepNext w:val="0"/>
        <w:keepLines w:val="0"/>
        <w:widowControl/>
        <w:suppressLineNumbers w:val="0"/>
        <w:jc w:val="center"/>
        <w:rPr>
          <w:rFonts w:ascii="黑体" w:hAnsi="宋体" w:eastAsia="黑体" w:cs="黑体"/>
          <w:color w:val="000000"/>
          <w:kern w:val="0"/>
          <w:sz w:val="20"/>
          <w:szCs w:val="20"/>
          <w:lang w:val="en-US" w:eastAsia="zh-CN" w:bidi="ar"/>
        </w:rPr>
      </w:pPr>
    </w:p>
    <w:p w14:paraId="56ED7477">
      <w:pPr>
        <w:keepNext w:val="0"/>
        <w:keepLines w:val="0"/>
        <w:widowControl/>
        <w:suppressLineNumbers w:val="0"/>
        <w:jc w:val="center"/>
        <w:rPr>
          <w:rFonts w:ascii="黑体" w:hAnsi="宋体" w:eastAsia="黑体" w:cs="黑体"/>
          <w:color w:val="000000"/>
          <w:kern w:val="0"/>
          <w:sz w:val="20"/>
          <w:szCs w:val="20"/>
          <w:lang w:val="en-US" w:eastAsia="zh-CN" w:bidi="ar"/>
        </w:rPr>
      </w:pPr>
    </w:p>
    <w:p w14:paraId="42FC794E">
      <w:pPr>
        <w:keepNext w:val="0"/>
        <w:keepLines w:val="0"/>
        <w:widowControl/>
        <w:suppressLineNumbers w:val="0"/>
        <w:jc w:val="center"/>
        <w:rPr>
          <w:rFonts w:ascii="黑体" w:hAnsi="宋体" w:eastAsia="黑体" w:cs="黑体"/>
          <w:color w:val="000000"/>
          <w:kern w:val="0"/>
          <w:sz w:val="20"/>
          <w:szCs w:val="20"/>
          <w:lang w:val="en-US" w:eastAsia="zh-CN" w:bidi="ar"/>
        </w:rPr>
      </w:pPr>
    </w:p>
    <w:p w14:paraId="08574247">
      <w:pPr>
        <w:keepNext w:val="0"/>
        <w:keepLines w:val="0"/>
        <w:widowControl/>
        <w:suppressLineNumbers w:val="0"/>
        <w:jc w:val="center"/>
        <w:rPr>
          <w:rFonts w:ascii="黑体" w:hAnsi="宋体" w:eastAsia="黑体" w:cs="黑体"/>
          <w:color w:val="000000"/>
          <w:kern w:val="0"/>
          <w:sz w:val="20"/>
          <w:szCs w:val="20"/>
          <w:lang w:val="en-US" w:eastAsia="zh-CN" w:bidi="ar"/>
        </w:rPr>
      </w:pPr>
    </w:p>
    <w:p w14:paraId="5CE3A5D2">
      <w:pPr>
        <w:keepNext w:val="0"/>
        <w:keepLines w:val="0"/>
        <w:widowControl/>
        <w:suppressLineNumbers w:val="0"/>
        <w:jc w:val="center"/>
        <w:rPr>
          <w:rFonts w:ascii="黑体" w:hAnsi="宋体" w:eastAsia="黑体" w:cs="黑体"/>
          <w:color w:val="000000"/>
          <w:kern w:val="0"/>
          <w:sz w:val="20"/>
          <w:szCs w:val="20"/>
          <w:lang w:val="en-US" w:eastAsia="zh-CN" w:bidi="ar"/>
        </w:rPr>
      </w:pPr>
    </w:p>
    <w:p w14:paraId="51C33381">
      <w:pPr>
        <w:keepNext w:val="0"/>
        <w:keepLines w:val="0"/>
        <w:widowControl/>
        <w:suppressLineNumbers w:val="0"/>
        <w:jc w:val="center"/>
        <w:rPr>
          <w:rFonts w:ascii="黑体" w:hAnsi="宋体" w:eastAsia="黑体" w:cs="黑体"/>
          <w:color w:val="000000"/>
          <w:kern w:val="0"/>
          <w:sz w:val="20"/>
          <w:szCs w:val="20"/>
          <w:lang w:val="en-US" w:eastAsia="zh-CN" w:bidi="ar"/>
        </w:rPr>
      </w:pPr>
    </w:p>
    <w:p w14:paraId="0E53FE5C">
      <w:pPr>
        <w:keepNext w:val="0"/>
        <w:keepLines w:val="0"/>
        <w:widowControl/>
        <w:suppressLineNumbers w:val="0"/>
        <w:jc w:val="center"/>
        <w:rPr>
          <w:rFonts w:ascii="黑体" w:hAnsi="宋体" w:eastAsia="黑体" w:cs="黑体"/>
          <w:color w:val="000000"/>
          <w:kern w:val="0"/>
          <w:sz w:val="20"/>
          <w:szCs w:val="20"/>
          <w:lang w:val="en-US" w:eastAsia="zh-CN" w:bidi="ar"/>
        </w:rPr>
      </w:pPr>
    </w:p>
    <w:p w14:paraId="25A6092C">
      <w:pPr>
        <w:keepNext w:val="0"/>
        <w:keepLines w:val="0"/>
        <w:widowControl/>
        <w:suppressLineNumbers w:val="0"/>
        <w:jc w:val="center"/>
        <w:rPr>
          <w:rFonts w:ascii="黑体" w:hAnsi="宋体" w:eastAsia="黑体" w:cs="黑体"/>
          <w:color w:val="000000"/>
          <w:kern w:val="0"/>
          <w:sz w:val="20"/>
          <w:szCs w:val="20"/>
          <w:lang w:val="en-US" w:eastAsia="zh-CN" w:bidi="ar"/>
        </w:rPr>
      </w:pPr>
    </w:p>
    <w:p w14:paraId="6C8FD9E9">
      <w:pPr>
        <w:keepNext w:val="0"/>
        <w:keepLines w:val="0"/>
        <w:widowControl/>
        <w:suppressLineNumbers w:val="0"/>
        <w:jc w:val="center"/>
        <w:rPr>
          <w:rFonts w:ascii="黑体" w:hAnsi="宋体" w:eastAsia="黑体" w:cs="黑体"/>
          <w:color w:val="000000"/>
          <w:kern w:val="0"/>
          <w:sz w:val="20"/>
          <w:szCs w:val="20"/>
          <w:lang w:val="en-US" w:eastAsia="zh-CN" w:bidi="ar"/>
        </w:rPr>
      </w:pPr>
    </w:p>
    <w:p w14:paraId="2CA6406B">
      <w:pPr>
        <w:keepNext w:val="0"/>
        <w:keepLines w:val="0"/>
        <w:widowControl/>
        <w:suppressLineNumbers w:val="0"/>
        <w:jc w:val="center"/>
        <w:rPr>
          <w:rFonts w:ascii="黑体" w:hAnsi="宋体" w:eastAsia="黑体" w:cs="黑体"/>
          <w:color w:val="000000"/>
          <w:kern w:val="0"/>
          <w:sz w:val="20"/>
          <w:szCs w:val="20"/>
          <w:lang w:val="en-US" w:eastAsia="zh-CN" w:bidi="ar"/>
        </w:rPr>
      </w:pPr>
    </w:p>
    <w:p w14:paraId="0F346D7E">
      <w:pPr>
        <w:keepNext w:val="0"/>
        <w:keepLines w:val="0"/>
        <w:widowControl/>
        <w:suppressLineNumbers w:val="0"/>
        <w:jc w:val="center"/>
        <w:rPr>
          <w:rFonts w:ascii="黑体" w:hAnsi="宋体" w:eastAsia="黑体" w:cs="黑体"/>
          <w:color w:val="000000"/>
          <w:kern w:val="0"/>
          <w:sz w:val="20"/>
          <w:szCs w:val="20"/>
          <w:lang w:val="en-US" w:eastAsia="zh-CN" w:bidi="ar"/>
        </w:rPr>
      </w:pPr>
    </w:p>
    <w:p w14:paraId="68F4DD42">
      <w:pPr>
        <w:keepNext w:val="0"/>
        <w:keepLines w:val="0"/>
        <w:widowControl/>
        <w:suppressLineNumbers w:val="0"/>
        <w:jc w:val="center"/>
        <w:rPr>
          <w:rFonts w:ascii="黑体" w:hAnsi="宋体" w:eastAsia="黑体" w:cs="黑体"/>
          <w:color w:val="000000"/>
          <w:kern w:val="0"/>
          <w:sz w:val="20"/>
          <w:szCs w:val="20"/>
          <w:lang w:val="en-US" w:eastAsia="zh-CN" w:bidi="ar"/>
        </w:rPr>
      </w:pPr>
    </w:p>
    <w:p w14:paraId="78360616">
      <w:pPr>
        <w:keepNext w:val="0"/>
        <w:keepLines w:val="0"/>
        <w:widowControl/>
        <w:suppressLineNumbers w:val="0"/>
        <w:jc w:val="center"/>
        <w:rPr>
          <w:rFonts w:ascii="黑体" w:hAnsi="宋体" w:eastAsia="黑体" w:cs="黑体"/>
          <w:color w:val="000000"/>
          <w:kern w:val="0"/>
          <w:sz w:val="20"/>
          <w:szCs w:val="20"/>
          <w:lang w:val="en-US" w:eastAsia="zh-CN" w:bidi="ar"/>
        </w:rPr>
      </w:pPr>
    </w:p>
    <w:p w14:paraId="31141FFE">
      <w:pPr>
        <w:keepNext w:val="0"/>
        <w:keepLines w:val="0"/>
        <w:widowControl/>
        <w:suppressLineNumbers w:val="0"/>
        <w:jc w:val="center"/>
        <w:rPr>
          <w:rFonts w:ascii="黑体" w:hAnsi="宋体" w:eastAsia="黑体" w:cs="黑体"/>
          <w:color w:val="000000"/>
          <w:kern w:val="0"/>
          <w:sz w:val="20"/>
          <w:szCs w:val="20"/>
          <w:lang w:val="en-US" w:eastAsia="zh-CN" w:bidi="ar"/>
        </w:rPr>
      </w:pPr>
    </w:p>
    <w:p w14:paraId="5C754DCB">
      <w:pPr>
        <w:keepNext w:val="0"/>
        <w:keepLines w:val="0"/>
        <w:widowControl/>
        <w:suppressLineNumbers w:val="0"/>
        <w:jc w:val="center"/>
        <w:rPr>
          <w:rFonts w:ascii="黑体" w:hAnsi="宋体" w:eastAsia="黑体" w:cs="黑体"/>
          <w:color w:val="000000"/>
          <w:kern w:val="0"/>
          <w:sz w:val="20"/>
          <w:szCs w:val="20"/>
          <w:lang w:val="en-US" w:eastAsia="zh-CN" w:bidi="ar"/>
        </w:rPr>
      </w:pPr>
    </w:p>
    <w:p w14:paraId="1AA026F1">
      <w:pPr>
        <w:keepNext w:val="0"/>
        <w:keepLines w:val="0"/>
        <w:widowControl/>
        <w:suppressLineNumbers w:val="0"/>
        <w:jc w:val="center"/>
        <w:rPr>
          <w:rFonts w:ascii="黑体" w:hAnsi="宋体" w:eastAsia="黑体" w:cs="黑体"/>
          <w:color w:val="000000"/>
          <w:kern w:val="0"/>
          <w:sz w:val="20"/>
          <w:szCs w:val="20"/>
          <w:lang w:val="en-US" w:eastAsia="zh-CN" w:bidi="ar"/>
        </w:rPr>
      </w:pPr>
    </w:p>
    <w:p w14:paraId="28EDBE12">
      <w:pPr>
        <w:keepNext w:val="0"/>
        <w:keepLines w:val="0"/>
        <w:widowControl/>
        <w:suppressLineNumbers w:val="0"/>
        <w:jc w:val="center"/>
        <w:rPr>
          <w:rFonts w:ascii="黑体" w:hAnsi="宋体" w:eastAsia="黑体" w:cs="黑体"/>
          <w:color w:val="000000"/>
          <w:kern w:val="0"/>
          <w:sz w:val="20"/>
          <w:szCs w:val="20"/>
          <w:lang w:val="en-US" w:eastAsia="zh-CN" w:bidi="ar"/>
        </w:rPr>
      </w:pPr>
    </w:p>
    <w:p w14:paraId="6BA95C88">
      <w:pPr>
        <w:keepNext w:val="0"/>
        <w:keepLines w:val="0"/>
        <w:widowControl/>
        <w:suppressLineNumbers w:val="0"/>
        <w:jc w:val="center"/>
        <w:rPr>
          <w:rFonts w:ascii="黑体" w:hAnsi="宋体" w:eastAsia="黑体" w:cs="黑体"/>
          <w:color w:val="000000"/>
          <w:kern w:val="0"/>
          <w:sz w:val="20"/>
          <w:szCs w:val="20"/>
          <w:lang w:val="en-US" w:eastAsia="zh-CN" w:bidi="ar"/>
        </w:rPr>
      </w:pPr>
    </w:p>
    <w:p w14:paraId="1054685C">
      <w:pPr>
        <w:keepNext w:val="0"/>
        <w:keepLines w:val="0"/>
        <w:widowControl/>
        <w:suppressLineNumbers w:val="0"/>
        <w:jc w:val="center"/>
      </w:pPr>
      <w:r>
        <w:rPr>
          <w:rFonts w:ascii="黑体" w:hAnsi="宋体" w:eastAsia="黑体" w:cs="黑体"/>
          <w:color w:val="000000"/>
          <w:kern w:val="0"/>
          <w:sz w:val="20"/>
          <w:szCs w:val="20"/>
          <w:lang w:val="en-US" w:eastAsia="zh-CN" w:bidi="ar"/>
        </w:rPr>
        <w:t xml:space="preserve">附 录 </w:t>
      </w:r>
      <w:r>
        <w:rPr>
          <w:rFonts w:hint="eastAsia" w:ascii="黑体" w:hAnsi="宋体" w:eastAsia="黑体" w:cs="黑体"/>
          <w:color w:val="000000"/>
          <w:kern w:val="0"/>
          <w:sz w:val="20"/>
          <w:szCs w:val="20"/>
          <w:lang w:val="en-US" w:eastAsia="zh-CN" w:bidi="ar"/>
        </w:rPr>
        <w:t>B</w:t>
      </w:r>
    </w:p>
    <w:p w14:paraId="67033E4D">
      <w:pPr>
        <w:keepNext w:val="0"/>
        <w:keepLines w:val="0"/>
        <w:widowControl/>
        <w:suppressLineNumbers w:val="0"/>
        <w:jc w:val="center"/>
        <w:rPr>
          <w:rFonts w:hint="eastAsia" w:ascii="黑体" w:hAnsi="宋体" w:eastAsia="黑体" w:cs="黑体"/>
          <w:color w:val="000000"/>
          <w:kern w:val="0"/>
          <w:sz w:val="20"/>
          <w:szCs w:val="20"/>
          <w:lang w:val="en-US" w:eastAsia="zh-CN" w:bidi="ar"/>
        </w:rPr>
      </w:pPr>
      <w:r>
        <w:rPr>
          <w:rFonts w:hint="eastAsia" w:ascii="黑体" w:hAnsi="宋体" w:eastAsia="黑体" w:cs="黑体"/>
          <w:color w:val="000000"/>
          <w:kern w:val="0"/>
          <w:sz w:val="20"/>
          <w:szCs w:val="20"/>
          <w:lang w:val="en-US" w:eastAsia="zh-CN" w:bidi="ar"/>
        </w:rPr>
        <w:t>（规范性）</w:t>
      </w:r>
    </w:p>
    <w:p w14:paraId="3AED5598">
      <w:pPr>
        <w:keepNext w:val="0"/>
        <w:keepLines w:val="0"/>
        <w:widowControl/>
        <w:suppressLineNumbers w:val="0"/>
        <w:jc w:val="center"/>
      </w:pPr>
      <w:r>
        <w:rPr>
          <w:rFonts w:hint="eastAsia" w:ascii="黑体" w:hAnsi="宋体" w:eastAsia="黑体" w:cs="黑体"/>
          <w:color w:val="000000"/>
          <w:kern w:val="0"/>
          <w:sz w:val="20"/>
          <w:szCs w:val="20"/>
          <w:lang w:val="en-US" w:eastAsia="zh-CN" w:bidi="ar"/>
        </w:rPr>
        <w:t>甜瓜主要病虫害化学药剂防治</w:t>
      </w:r>
    </w:p>
    <w:p w14:paraId="042832FE">
      <w:pPr>
        <w:pStyle w:val="233"/>
        <w:numPr>
          <w:ilvl w:val="0"/>
          <w:numId w:val="0"/>
        </w:numPr>
        <w:spacing w:before="156" w:after="156"/>
        <w:ind w:left="623"/>
        <w:jc w:val="center"/>
        <w:rPr>
          <w:rFonts w:ascii="Times New Roman"/>
        </w:rPr>
      </w:pPr>
      <w:r>
        <w:rPr>
          <w:rFonts w:hint="eastAsia" w:ascii="Times New Roman"/>
        </w:rPr>
        <w:t>表</w:t>
      </w:r>
      <w:r>
        <w:rPr>
          <w:rFonts w:hint="eastAsia" w:hAnsi="宋体" w:cs="黑体"/>
          <w:color w:val="000000"/>
          <w:kern w:val="0"/>
          <w:sz w:val="20"/>
          <w:szCs w:val="20"/>
          <w:lang w:val="en-US" w:eastAsia="zh-CN" w:bidi="ar"/>
        </w:rPr>
        <w:t>B</w:t>
      </w:r>
      <w:r>
        <w:rPr>
          <w:rFonts w:hint="eastAsia" w:ascii="黑体" w:hAnsi="宋体" w:eastAsia="黑体" w:cs="黑体"/>
          <w:color w:val="000000"/>
          <w:kern w:val="0"/>
          <w:sz w:val="20"/>
          <w:szCs w:val="20"/>
          <w:lang w:val="en-US" w:eastAsia="zh-CN" w:bidi="ar"/>
        </w:rPr>
        <w:t>.</w:t>
      </w:r>
      <w:r>
        <w:rPr>
          <w:rFonts w:hint="eastAsia" w:hAnsi="宋体" w:cs="黑体"/>
          <w:color w:val="000000"/>
          <w:kern w:val="0"/>
          <w:sz w:val="20"/>
          <w:szCs w:val="20"/>
          <w:lang w:val="en-US" w:eastAsia="zh-CN" w:bidi="ar"/>
        </w:rPr>
        <w:t xml:space="preserve">1  </w:t>
      </w:r>
      <w:r>
        <w:rPr>
          <w:rFonts w:hint="eastAsia" w:ascii="Times New Roman"/>
        </w:rPr>
        <w:t>甜瓜主要病虫害化学防治使用药剂及方法</w:t>
      </w:r>
    </w:p>
    <w:tbl>
      <w:tblPr>
        <w:tblStyle w:val="2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3045"/>
        <w:gridCol w:w="5472"/>
      </w:tblGrid>
      <w:tr w14:paraId="2ED2E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8" w:space="0"/>
              <w:bottom w:val="single" w:color="auto" w:sz="8" w:space="0"/>
            </w:tcBorders>
            <w:vAlign w:val="center"/>
          </w:tcPr>
          <w:p w14:paraId="1538DC4B">
            <w:pPr>
              <w:jc w:val="center"/>
              <w:rPr>
                <w:rFonts w:ascii="Times New Roman" w:hAnsi="Times New Roman"/>
                <w:sz w:val="18"/>
              </w:rPr>
            </w:pPr>
            <w:r>
              <w:rPr>
                <w:rFonts w:hint="eastAsia" w:ascii="Times New Roman" w:hAnsi="Times New Roman"/>
                <w:sz w:val="18"/>
              </w:rPr>
              <w:t>防治对象</w:t>
            </w:r>
          </w:p>
        </w:tc>
        <w:tc>
          <w:tcPr>
            <w:tcW w:w="3045" w:type="dxa"/>
            <w:tcBorders>
              <w:top w:val="single" w:color="auto" w:sz="8" w:space="0"/>
              <w:bottom w:val="single" w:color="auto" w:sz="8" w:space="0"/>
            </w:tcBorders>
          </w:tcPr>
          <w:p w14:paraId="4167EE8E">
            <w:pPr>
              <w:jc w:val="center"/>
              <w:rPr>
                <w:rFonts w:ascii="Times New Roman" w:hAnsi="Times New Roman"/>
                <w:sz w:val="18"/>
              </w:rPr>
            </w:pPr>
            <w:r>
              <w:rPr>
                <w:rFonts w:hint="eastAsia" w:ascii="Times New Roman" w:hAnsi="Times New Roman"/>
                <w:sz w:val="18"/>
              </w:rPr>
              <w:t>农药名称</w:t>
            </w:r>
          </w:p>
        </w:tc>
        <w:tc>
          <w:tcPr>
            <w:tcW w:w="5472" w:type="dxa"/>
            <w:tcBorders>
              <w:top w:val="single" w:color="auto" w:sz="8" w:space="0"/>
              <w:bottom w:val="single" w:color="auto" w:sz="8" w:space="0"/>
            </w:tcBorders>
          </w:tcPr>
          <w:p w14:paraId="4B379819">
            <w:pPr>
              <w:jc w:val="center"/>
              <w:rPr>
                <w:rFonts w:ascii="Times New Roman" w:hAnsi="Times New Roman"/>
                <w:sz w:val="18"/>
              </w:rPr>
            </w:pPr>
            <w:r>
              <w:rPr>
                <w:rFonts w:hint="eastAsia" w:ascii="Times New Roman" w:hAnsi="Times New Roman"/>
                <w:color w:val="000000"/>
                <w:sz w:val="18"/>
                <w:szCs w:val="18"/>
              </w:rPr>
              <w:t>使用方法</w:t>
            </w:r>
          </w:p>
        </w:tc>
      </w:tr>
      <w:tr w14:paraId="7F93A0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8" w:space="0"/>
            </w:tcBorders>
            <w:vAlign w:val="center"/>
          </w:tcPr>
          <w:p w14:paraId="6B12A378">
            <w:pPr>
              <w:jc w:val="center"/>
              <w:rPr>
                <w:rFonts w:ascii="Times New Roman" w:hAnsi="Times New Roman"/>
                <w:sz w:val="18"/>
              </w:rPr>
            </w:pPr>
            <w:r>
              <w:rPr>
                <w:rFonts w:hint="eastAsia" w:ascii="Times New Roman" w:hAnsi="Times New Roman"/>
                <w:color w:val="000000"/>
                <w:sz w:val="18"/>
                <w:szCs w:val="18"/>
              </w:rPr>
              <w:t>霜霉病</w:t>
            </w:r>
          </w:p>
        </w:tc>
        <w:tc>
          <w:tcPr>
            <w:tcW w:w="3045" w:type="dxa"/>
            <w:tcBorders>
              <w:top w:val="single" w:color="auto" w:sz="8" w:space="0"/>
            </w:tcBorders>
          </w:tcPr>
          <w:p w14:paraId="45162A8E">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25%甲霜灵可湿性粉剂</w:t>
            </w:r>
          </w:p>
          <w:p w14:paraId="7E6B5C14">
            <w:pPr>
              <w:widowControl/>
              <w:jc w:val="left"/>
              <w:rPr>
                <w:rFonts w:ascii="Times New Roman" w:hAnsi="Times New Roman"/>
                <w:color w:val="000000"/>
                <w:sz w:val="18"/>
                <w:szCs w:val="18"/>
              </w:rPr>
            </w:pPr>
            <w:r>
              <w:rPr>
                <w:rFonts w:hint="eastAsia" w:ascii="Times New Roman" w:hAnsi="Times New Roman" w:cs="宋体"/>
                <w:color w:val="000000"/>
                <w:kern w:val="0"/>
                <w:sz w:val="20"/>
                <w:szCs w:val="20"/>
                <w:lang w:bidi="ar"/>
              </w:rPr>
              <w:t>60%唑醚·代森联水分散粒剂</w:t>
            </w:r>
          </w:p>
        </w:tc>
        <w:tc>
          <w:tcPr>
            <w:tcW w:w="5472" w:type="dxa"/>
            <w:tcBorders>
              <w:top w:val="single" w:color="auto" w:sz="8" w:space="0"/>
            </w:tcBorders>
          </w:tcPr>
          <w:p w14:paraId="77B86AF1">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800～1 000倍液，7 ～10 d 喷1次</w:t>
            </w:r>
          </w:p>
          <w:p w14:paraId="78EB8D2B">
            <w:pPr>
              <w:widowControl/>
              <w:jc w:val="left"/>
              <w:rPr>
                <w:rFonts w:ascii="Times New Roman" w:hAnsi="Times New Roman"/>
                <w:sz w:val="18"/>
              </w:rPr>
            </w:pPr>
            <w:r>
              <w:rPr>
                <w:rFonts w:hint="eastAsia" w:ascii="Times New Roman" w:hAnsi="Times New Roman" w:cs="宋体"/>
                <w:color w:val="000000"/>
                <w:kern w:val="0"/>
                <w:sz w:val="20"/>
                <w:szCs w:val="20"/>
                <w:lang w:bidi="ar"/>
              </w:rPr>
              <w:t>750倍液，7 ～10 d 喷1次，连续2～3次</w:t>
            </w:r>
          </w:p>
        </w:tc>
      </w:tr>
      <w:tr w14:paraId="57FD2C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14:paraId="5D91C378">
            <w:pPr>
              <w:jc w:val="center"/>
              <w:rPr>
                <w:rFonts w:ascii="Times New Roman" w:hAnsi="Times New Roman"/>
                <w:sz w:val="18"/>
              </w:rPr>
            </w:pPr>
            <w:r>
              <w:rPr>
                <w:rFonts w:hint="eastAsia" w:ascii="Times New Roman" w:hAnsi="Times New Roman"/>
                <w:color w:val="000000"/>
                <w:sz w:val="18"/>
                <w:szCs w:val="18"/>
              </w:rPr>
              <w:t>炭疽病</w:t>
            </w:r>
          </w:p>
        </w:tc>
        <w:tc>
          <w:tcPr>
            <w:tcW w:w="3045" w:type="dxa"/>
          </w:tcPr>
          <w:p w14:paraId="3C04B9EC">
            <w:pPr>
              <w:widowControl/>
              <w:jc w:val="left"/>
              <w:rPr>
                <w:rFonts w:ascii="Times New Roman" w:hAnsi="Times New Roman"/>
              </w:rPr>
            </w:pPr>
            <w:r>
              <w:rPr>
                <w:rFonts w:hint="eastAsia" w:ascii="Times New Roman" w:hAnsi="Times New Roman" w:cs="宋体"/>
                <w:color w:val="000000"/>
                <w:kern w:val="0"/>
                <w:sz w:val="20"/>
                <w:szCs w:val="20"/>
                <w:lang w:bidi="ar"/>
              </w:rPr>
              <w:t>70</w:t>
            </w:r>
            <w:r>
              <w:rPr>
                <w:rFonts w:hint="eastAsia" w:ascii="Times New Roman" w:hAnsi="Times New Roman"/>
                <w:color w:val="000000"/>
                <w:sz w:val="18"/>
                <w:szCs w:val="18"/>
              </w:rPr>
              <w:t>%</w:t>
            </w:r>
            <w:r>
              <w:rPr>
                <w:rFonts w:hint="eastAsia" w:ascii="Times New Roman" w:hAnsi="Times New Roman" w:cs="宋体"/>
                <w:color w:val="000000"/>
                <w:kern w:val="0"/>
                <w:sz w:val="20"/>
                <w:szCs w:val="20"/>
                <w:lang w:bidi="ar"/>
              </w:rPr>
              <w:t>代森锰锌可湿性粉剂</w:t>
            </w:r>
          </w:p>
          <w:p w14:paraId="1C5D58B8">
            <w:pPr>
              <w:widowControl/>
              <w:jc w:val="left"/>
              <w:rPr>
                <w:rFonts w:ascii="Times New Roman" w:hAnsi="Times New Roman"/>
                <w:color w:val="000000"/>
                <w:sz w:val="18"/>
                <w:szCs w:val="18"/>
              </w:rPr>
            </w:pPr>
            <w:r>
              <w:rPr>
                <w:rFonts w:hint="eastAsia" w:ascii="Times New Roman" w:hAnsi="Times New Roman" w:cs="宋体"/>
                <w:color w:val="000000"/>
                <w:kern w:val="0"/>
                <w:sz w:val="20"/>
                <w:szCs w:val="20"/>
                <w:lang w:bidi="ar"/>
              </w:rPr>
              <w:t>45%甲硫·腈菌唑水分散粒剂</w:t>
            </w:r>
          </w:p>
        </w:tc>
        <w:tc>
          <w:tcPr>
            <w:tcW w:w="5472" w:type="dxa"/>
          </w:tcPr>
          <w:p w14:paraId="44215758">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500倍液，7 ～10 d 喷1次，连续2～3次</w:t>
            </w:r>
          </w:p>
          <w:p w14:paraId="4E20B644">
            <w:pPr>
              <w:widowControl/>
              <w:jc w:val="left"/>
              <w:rPr>
                <w:rFonts w:ascii="Times New Roman" w:hAnsi="Times New Roman"/>
                <w:color w:val="000000"/>
                <w:sz w:val="18"/>
                <w:szCs w:val="18"/>
              </w:rPr>
            </w:pPr>
            <w:r>
              <w:rPr>
                <w:rFonts w:hint="eastAsia" w:ascii="Times New Roman" w:hAnsi="Times New Roman" w:cs="宋体"/>
                <w:color w:val="000000"/>
                <w:kern w:val="0"/>
                <w:sz w:val="20"/>
                <w:szCs w:val="20"/>
                <w:lang w:bidi="ar"/>
              </w:rPr>
              <w:t>750倍液，7 ～10 d 喷1次，连续2～3次</w:t>
            </w:r>
          </w:p>
        </w:tc>
      </w:tr>
      <w:tr w14:paraId="23617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053" w:type="dxa"/>
            <w:vAlign w:val="center"/>
          </w:tcPr>
          <w:p w14:paraId="26AA26ED">
            <w:pPr>
              <w:widowControl/>
              <w:jc w:val="center"/>
              <w:rPr>
                <w:rFonts w:ascii="Times New Roman" w:hAnsi="Times New Roman" w:cs="宋体"/>
                <w:color w:val="000000"/>
                <w:sz w:val="18"/>
                <w:szCs w:val="18"/>
              </w:rPr>
            </w:pPr>
            <w:r>
              <w:rPr>
                <w:rFonts w:hint="eastAsia" w:ascii="Times New Roman" w:hAnsi="Times New Roman"/>
                <w:color w:val="000000"/>
                <w:sz w:val="18"/>
                <w:szCs w:val="18"/>
              </w:rPr>
              <w:t>枯萎病</w:t>
            </w:r>
          </w:p>
        </w:tc>
        <w:tc>
          <w:tcPr>
            <w:tcW w:w="3045" w:type="dxa"/>
          </w:tcPr>
          <w:p w14:paraId="68A42AE3">
            <w:pPr>
              <w:widowControl/>
              <w:jc w:val="left"/>
              <w:rPr>
                <w:rFonts w:ascii="Times New Roman" w:hAnsi="Times New Roman" w:cs="宋体"/>
                <w:color w:val="000000"/>
                <w:sz w:val="18"/>
                <w:szCs w:val="18"/>
              </w:rPr>
            </w:pPr>
            <w:r>
              <w:rPr>
                <w:rFonts w:hint="eastAsia" w:ascii="Times New Roman" w:hAnsi="Times New Roman" w:cs="宋体"/>
                <w:color w:val="000000"/>
                <w:kern w:val="0"/>
                <w:sz w:val="20"/>
                <w:szCs w:val="20"/>
                <w:lang w:bidi="ar"/>
              </w:rPr>
              <w:t>6%寡糖·链蛋白可湿性粉剂</w:t>
            </w:r>
          </w:p>
        </w:tc>
        <w:tc>
          <w:tcPr>
            <w:tcW w:w="5472" w:type="dxa"/>
          </w:tcPr>
          <w:p w14:paraId="7D0E29AB">
            <w:pPr>
              <w:widowControl/>
              <w:jc w:val="left"/>
              <w:rPr>
                <w:rFonts w:ascii="Times New Roman" w:hAnsi="Times New Roman" w:cs="宋体"/>
                <w:color w:val="000000"/>
                <w:sz w:val="18"/>
                <w:szCs w:val="18"/>
              </w:rPr>
            </w:pPr>
            <w:r>
              <w:rPr>
                <w:rFonts w:hint="eastAsia" w:ascii="Times New Roman" w:hAnsi="Times New Roman" w:cs="宋体"/>
                <w:color w:val="000000"/>
                <w:kern w:val="0"/>
                <w:sz w:val="20"/>
                <w:szCs w:val="20"/>
                <w:lang w:bidi="ar"/>
              </w:rPr>
              <w:t>750倍液，7 ～10 d 喷1次，连续2～3次</w:t>
            </w:r>
          </w:p>
        </w:tc>
      </w:tr>
      <w:tr w14:paraId="49490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14:paraId="6C593485">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白粉病</w:t>
            </w:r>
          </w:p>
        </w:tc>
        <w:tc>
          <w:tcPr>
            <w:tcW w:w="3045" w:type="dxa"/>
          </w:tcPr>
          <w:p w14:paraId="3540D657">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50</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甲基硫菌灵可湿性粉剂12.5</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烯唑醇可湿性粉剂</w:t>
            </w:r>
          </w:p>
        </w:tc>
        <w:tc>
          <w:tcPr>
            <w:tcW w:w="5472" w:type="dxa"/>
          </w:tcPr>
          <w:p w14:paraId="136BA38C">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500～800倍液，7 ～10 d 喷1次</w:t>
            </w:r>
          </w:p>
          <w:p w14:paraId="236DE078">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1 000倍液，7 ～10 d 喷1次</w:t>
            </w:r>
          </w:p>
        </w:tc>
      </w:tr>
      <w:tr w14:paraId="0DC17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053" w:type="dxa"/>
            <w:tcBorders>
              <w:bottom w:val="single" w:color="auto" w:sz="4" w:space="0"/>
            </w:tcBorders>
            <w:vAlign w:val="center"/>
          </w:tcPr>
          <w:p w14:paraId="12B73882">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疫病</w:t>
            </w:r>
          </w:p>
        </w:tc>
        <w:tc>
          <w:tcPr>
            <w:tcW w:w="3045" w:type="dxa"/>
            <w:tcBorders>
              <w:bottom w:val="single" w:color="auto" w:sz="4" w:space="0"/>
            </w:tcBorders>
          </w:tcPr>
          <w:p w14:paraId="19FF891A">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25</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甲霜灵可湿性粉剂</w:t>
            </w:r>
          </w:p>
          <w:p w14:paraId="7B3B74EC">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58</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甲霜灵锰锌可湿性粉剂</w:t>
            </w:r>
          </w:p>
        </w:tc>
        <w:tc>
          <w:tcPr>
            <w:tcW w:w="5472" w:type="dxa"/>
            <w:tcBorders>
              <w:bottom w:val="single" w:color="auto" w:sz="4" w:space="0"/>
            </w:tcBorders>
          </w:tcPr>
          <w:p w14:paraId="330170B4">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800～1 000倍液，7 ～10 d 喷1次</w:t>
            </w:r>
          </w:p>
          <w:p w14:paraId="594D83AE">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500倍液，7 ～10 d 喷1次</w:t>
            </w:r>
          </w:p>
        </w:tc>
      </w:tr>
      <w:tr w14:paraId="6BA933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053" w:type="dxa"/>
            <w:tcBorders>
              <w:top w:val="single" w:color="auto" w:sz="4" w:space="0"/>
              <w:bottom w:val="single" w:color="auto" w:sz="4" w:space="0"/>
            </w:tcBorders>
            <w:vAlign w:val="center"/>
          </w:tcPr>
          <w:p w14:paraId="533EA08B">
            <w:pPr>
              <w:widowControl/>
              <w:jc w:val="center"/>
              <w:rPr>
                <w:rFonts w:ascii="Times New Roman" w:hAnsi="Times New Roman" w:cs="宋体"/>
                <w:color w:val="000000"/>
                <w:sz w:val="18"/>
                <w:szCs w:val="18"/>
              </w:rPr>
            </w:pPr>
            <w:r>
              <w:rPr>
                <w:rFonts w:hint="eastAsia" w:ascii="Times New Roman" w:hAnsi="Times New Roman" w:cs="宋体"/>
                <w:color w:val="000000"/>
                <w:kern w:val="0"/>
                <w:sz w:val="20"/>
                <w:szCs w:val="20"/>
                <w:lang w:bidi="ar"/>
              </w:rPr>
              <w:t>蔓枯病</w:t>
            </w:r>
          </w:p>
        </w:tc>
        <w:tc>
          <w:tcPr>
            <w:tcW w:w="3045" w:type="dxa"/>
            <w:tcBorders>
              <w:top w:val="single" w:color="auto" w:sz="4" w:space="0"/>
              <w:bottom w:val="single" w:color="auto" w:sz="4" w:space="0"/>
            </w:tcBorders>
          </w:tcPr>
          <w:p w14:paraId="24A1C4F9">
            <w:pPr>
              <w:widowControl/>
              <w:jc w:val="left"/>
              <w:rPr>
                <w:rFonts w:ascii="Times New Roman" w:hAnsi="Times New Roman"/>
              </w:rPr>
            </w:pPr>
            <w:r>
              <w:rPr>
                <w:rFonts w:hint="eastAsia" w:ascii="Times New Roman" w:hAnsi="Times New Roman" w:cs="宋体"/>
                <w:color w:val="000000"/>
                <w:kern w:val="0"/>
                <w:sz w:val="20"/>
                <w:szCs w:val="20"/>
                <w:lang w:bidi="ar"/>
              </w:rPr>
              <w:t>70</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代森锰锌可湿性粉剂</w:t>
            </w:r>
          </w:p>
          <w:p w14:paraId="6D0E3B14">
            <w:pPr>
              <w:widowControl/>
              <w:jc w:val="left"/>
              <w:rPr>
                <w:rFonts w:ascii="Times New Roman" w:hAnsi="Times New Roman" w:cs="宋体"/>
                <w:color w:val="000000"/>
                <w:sz w:val="18"/>
                <w:szCs w:val="18"/>
              </w:rPr>
            </w:pPr>
            <w:r>
              <w:rPr>
                <w:rFonts w:hint="eastAsia" w:ascii="Times New Roman" w:hAnsi="Times New Roman" w:cs="宋体"/>
                <w:color w:val="000000"/>
                <w:kern w:val="0"/>
                <w:sz w:val="20"/>
                <w:szCs w:val="20"/>
                <w:lang w:bidi="ar"/>
              </w:rPr>
              <w:t>50</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甲基硫菌灵</w:t>
            </w:r>
          </w:p>
        </w:tc>
        <w:tc>
          <w:tcPr>
            <w:tcW w:w="5472" w:type="dxa"/>
            <w:tcBorders>
              <w:top w:val="single" w:color="auto" w:sz="4" w:space="0"/>
              <w:bottom w:val="single" w:color="auto" w:sz="4" w:space="0"/>
            </w:tcBorders>
          </w:tcPr>
          <w:p w14:paraId="55FD5810">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500倍液喷施，7 ～10 d 喷1次，连续2～3次</w:t>
            </w:r>
          </w:p>
          <w:p w14:paraId="732849EE">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600～800倍液喷施，7 ～10 d 喷1次，连续2～3次</w:t>
            </w:r>
          </w:p>
        </w:tc>
      </w:tr>
      <w:tr w14:paraId="334EE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53" w:type="dxa"/>
            <w:tcBorders>
              <w:top w:val="single" w:color="auto" w:sz="4" w:space="0"/>
              <w:bottom w:val="single" w:color="auto" w:sz="4" w:space="0"/>
            </w:tcBorders>
            <w:vAlign w:val="center"/>
          </w:tcPr>
          <w:p w14:paraId="55347777">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软腐病</w:t>
            </w:r>
          </w:p>
        </w:tc>
        <w:tc>
          <w:tcPr>
            <w:tcW w:w="3045" w:type="dxa"/>
            <w:tcBorders>
              <w:top w:val="single" w:color="auto" w:sz="4" w:space="0"/>
              <w:bottom w:val="single" w:color="auto" w:sz="4" w:space="0"/>
            </w:tcBorders>
          </w:tcPr>
          <w:p w14:paraId="58D7FB27">
            <w:pPr>
              <w:widowControl/>
              <w:jc w:val="left"/>
              <w:rPr>
                <w:rFonts w:ascii="Times New Roman" w:hAnsi="Times New Roman" w:cs="宋体"/>
                <w:color w:val="000000"/>
                <w:sz w:val="18"/>
                <w:szCs w:val="18"/>
              </w:rPr>
            </w:pPr>
            <w:r>
              <w:rPr>
                <w:rFonts w:hint="eastAsia" w:ascii="Times New Roman" w:hAnsi="Times New Roman" w:cs="宋体"/>
                <w:color w:val="000000"/>
                <w:kern w:val="0"/>
                <w:sz w:val="20"/>
                <w:szCs w:val="20"/>
                <w:lang w:bidi="ar"/>
              </w:rPr>
              <w:t>硫酸铜</w:t>
            </w:r>
          </w:p>
        </w:tc>
        <w:tc>
          <w:tcPr>
            <w:tcW w:w="5472" w:type="dxa"/>
            <w:tcBorders>
              <w:top w:val="single" w:color="auto" w:sz="4" w:space="0"/>
              <w:bottom w:val="single" w:color="auto" w:sz="4" w:space="0"/>
            </w:tcBorders>
          </w:tcPr>
          <w:p w14:paraId="70CAE8B9">
            <w:pPr>
              <w:widowControl/>
              <w:jc w:val="left"/>
              <w:rPr>
                <w:rFonts w:ascii="Times New Roman" w:hAnsi="Times New Roman" w:cs="宋体"/>
                <w:color w:val="000000"/>
                <w:sz w:val="18"/>
                <w:szCs w:val="18"/>
              </w:rPr>
            </w:pPr>
            <w:r>
              <w:rPr>
                <w:rFonts w:hint="eastAsia" w:ascii="Times New Roman" w:hAnsi="Times New Roman" w:cs="宋体"/>
                <w:color w:val="000000"/>
                <w:kern w:val="0"/>
                <w:sz w:val="20"/>
                <w:szCs w:val="20"/>
                <w:lang w:bidi="ar"/>
              </w:rPr>
              <w:t>每667 m</w:t>
            </w:r>
            <w:r>
              <w:rPr>
                <w:rFonts w:hint="eastAsia" w:ascii="Times New Roman" w:hAnsi="Times New Roman" w:cs="宋体"/>
                <w:color w:val="000000"/>
                <w:kern w:val="0"/>
                <w:sz w:val="20"/>
                <w:szCs w:val="20"/>
                <w:vertAlign w:val="superscript"/>
                <w:lang w:bidi="ar"/>
              </w:rPr>
              <w:t>2</w:t>
            </w:r>
            <w:r>
              <w:rPr>
                <w:rFonts w:hint="eastAsia" w:ascii="Times New Roman" w:hAnsi="Times New Roman" w:cs="宋体"/>
                <w:color w:val="000000"/>
                <w:kern w:val="0"/>
                <w:sz w:val="20"/>
                <w:szCs w:val="20"/>
                <w:lang w:bidi="ar"/>
              </w:rPr>
              <w:t>撒施3 kg～4 kg后浇水预防</w:t>
            </w:r>
          </w:p>
        </w:tc>
      </w:tr>
      <w:tr w14:paraId="5C38F7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4" w:space="0"/>
              <w:bottom w:val="single" w:color="auto" w:sz="4" w:space="0"/>
            </w:tcBorders>
          </w:tcPr>
          <w:p w14:paraId="76104C41">
            <w:pPr>
              <w:widowControl/>
              <w:jc w:val="center"/>
              <w:rPr>
                <w:rFonts w:ascii="Times New Roman" w:hAnsi="Times New Roman" w:cs="宋体"/>
                <w:color w:val="000000"/>
                <w:kern w:val="0"/>
                <w:sz w:val="20"/>
                <w:szCs w:val="20"/>
                <w:lang w:bidi="ar"/>
              </w:rPr>
            </w:pPr>
            <w:bookmarkStart w:id="57" w:name="BookMark6"/>
            <w:r>
              <w:rPr>
                <w:rFonts w:hint="eastAsia" w:ascii="Times New Roman" w:hAnsi="Times New Roman" w:cs="宋体"/>
                <w:color w:val="000000"/>
                <w:kern w:val="0"/>
                <w:sz w:val="20"/>
                <w:szCs w:val="20"/>
                <w:lang w:bidi="ar"/>
              </w:rPr>
              <w:t>蚜虫</w:t>
            </w:r>
          </w:p>
        </w:tc>
        <w:tc>
          <w:tcPr>
            <w:tcW w:w="3045" w:type="dxa"/>
            <w:tcBorders>
              <w:top w:val="single" w:color="auto" w:sz="4" w:space="0"/>
              <w:bottom w:val="single" w:color="auto" w:sz="4" w:space="0"/>
            </w:tcBorders>
          </w:tcPr>
          <w:p w14:paraId="6A4A5564">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10</w:t>
            </w:r>
            <w:r>
              <w:rPr>
                <w:rFonts w:hint="eastAsia" w:ascii="Times New Roman" w:hAnsi="Times New Roman"/>
                <w:color w:val="000000"/>
                <w:sz w:val="20"/>
                <w:szCs w:val="20"/>
              </w:rPr>
              <w:t>%</w:t>
            </w:r>
            <w:r>
              <w:rPr>
                <w:rFonts w:hint="eastAsia" w:ascii="Times New Roman" w:hAnsi="Times New Roman" w:cs="宋体"/>
                <w:color w:val="000000"/>
                <w:kern w:val="0"/>
                <w:sz w:val="20"/>
                <w:szCs w:val="20"/>
                <w:lang w:bidi="ar"/>
              </w:rPr>
              <w:t>吡虫啉可湿性粉剂</w:t>
            </w:r>
          </w:p>
        </w:tc>
        <w:tc>
          <w:tcPr>
            <w:tcW w:w="5472" w:type="dxa"/>
            <w:tcBorders>
              <w:top w:val="single" w:color="auto" w:sz="4" w:space="0"/>
              <w:bottom w:val="single" w:color="auto" w:sz="4" w:space="0"/>
            </w:tcBorders>
          </w:tcPr>
          <w:p w14:paraId="40BAE03A">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2 000～3 000倍液喷施，5 ～7 d 喷1次，连续2～3次</w:t>
            </w:r>
          </w:p>
        </w:tc>
      </w:tr>
      <w:tr w14:paraId="6DD5A2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4" w:space="0"/>
              <w:bottom w:val="single" w:color="auto" w:sz="4" w:space="0"/>
            </w:tcBorders>
          </w:tcPr>
          <w:p w14:paraId="1078C8B9">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红蜘蛛</w:t>
            </w:r>
          </w:p>
        </w:tc>
        <w:tc>
          <w:tcPr>
            <w:tcW w:w="3045" w:type="dxa"/>
            <w:tcBorders>
              <w:top w:val="single" w:color="auto" w:sz="4" w:space="0"/>
              <w:bottom w:val="single" w:color="auto" w:sz="4" w:space="0"/>
            </w:tcBorders>
          </w:tcPr>
          <w:p w14:paraId="04B9168F">
            <w:pPr>
              <w:widowControl/>
              <w:jc w:val="left"/>
              <w:rPr>
                <w:rFonts w:ascii="Times New Roman" w:hAnsi="Times New Roman"/>
              </w:rPr>
            </w:pPr>
            <w:r>
              <w:rPr>
                <w:rFonts w:hint="eastAsia" w:ascii="Times New Roman" w:hAnsi="Times New Roman" w:cs="宋体"/>
                <w:color w:val="000000"/>
                <w:kern w:val="0"/>
                <w:sz w:val="20"/>
                <w:szCs w:val="20"/>
                <w:lang w:bidi="ar"/>
              </w:rPr>
              <w:t>1.8%阿维菌素乳油</w:t>
            </w:r>
          </w:p>
          <w:p w14:paraId="4BA32C03">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20%哒螨灵</w:t>
            </w:r>
          </w:p>
        </w:tc>
        <w:tc>
          <w:tcPr>
            <w:tcW w:w="5472" w:type="dxa"/>
            <w:tcBorders>
              <w:top w:val="single" w:color="auto" w:sz="4" w:space="0"/>
              <w:bottom w:val="single" w:color="auto" w:sz="4" w:space="0"/>
            </w:tcBorders>
          </w:tcPr>
          <w:p w14:paraId="4DDC548B">
            <w:pPr>
              <w:widowControl/>
              <w:jc w:val="left"/>
              <w:rPr>
                <w:rFonts w:ascii="Times New Roman" w:hAnsi="Times New Roman"/>
              </w:rPr>
            </w:pPr>
            <w:r>
              <w:rPr>
                <w:rFonts w:hint="eastAsia" w:ascii="Times New Roman" w:hAnsi="Times New Roman" w:cs="宋体"/>
                <w:color w:val="000000"/>
                <w:kern w:val="0"/>
                <w:sz w:val="20"/>
                <w:szCs w:val="20"/>
                <w:lang w:bidi="ar"/>
              </w:rPr>
              <w:t>2 000～3 000倍液喷施，5 ～7 d 喷1次，连续2～3次</w:t>
            </w:r>
          </w:p>
          <w:p w14:paraId="18A43017">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3 000倍液喷施，5 ～7 d 喷1次，连续2～3次</w:t>
            </w:r>
          </w:p>
        </w:tc>
      </w:tr>
      <w:tr w14:paraId="411449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4" w:space="0"/>
              <w:bottom w:val="single" w:color="auto" w:sz="4" w:space="0"/>
            </w:tcBorders>
          </w:tcPr>
          <w:p w14:paraId="37D327AE">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白粉虱</w:t>
            </w:r>
          </w:p>
        </w:tc>
        <w:tc>
          <w:tcPr>
            <w:tcW w:w="3045" w:type="dxa"/>
            <w:tcBorders>
              <w:top w:val="single" w:color="auto" w:sz="4" w:space="0"/>
              <w:bottom w:val="single" w:color="auto" w:sz="4" w:space="0"/>
            </w:tcBorders>
          </w:tcPr>
          <w:p w14:paraId="3AA60146">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10%噻嗪酮可湿性粉剂</w:t>
            </w:r>
          </w:p>
        </w:tc>
        <w:tc>
          <w:tcPr>
            <w:tcW w:w="5472" w:type="dxa"/>
            <w:tcBorders>
              <w:top w:val="single" w:color="auto" w:sz="4" w:space="0"/>
              <w:bottom w:val="single" w:color="auto" w:sz="4" w:space="0"/>
            </w:tcBorders>
          </w:tcPr>
          <w:p w14:paraId="0D8BA3B7">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1 000倍液喷施，5 ～7 d 喷1次，连续2～3次</w:t>
            </w:r>
          </w:p>
        </w:tc>
      </w:tr>
      <w:tr w14:paraId="75FEF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53" w:type="dxa"/>
            <w:tcBorders>
              <w:top w:val="single" w:color="auto" w:sz="4" w:space="0"/>
              <w:bottom w:val="single" w:color="auto" w:sz="8" w:space="0"/>
            </w:tcBorders>
          </w:tcPr>
          <w:p w14:paraId="424D9E37">
            <w:pPr>
              <w:widowControl/>
              <w:jc w:val="center"/>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蓟马</w:t>
            </w:r>
          </w:p>
        </w:tc>
        <w:tc>
          <w:tcPr>
            <w:tcW w:w="3045" w:type="dxa"/>
            <w:tcBorders>
              <w:top w:val="single" w:color="auto" w:sz="4" w:space="0"/>
              <w:bottom w:val="single" w:color="auto" w:sz="8" w:space="0"/>
            </w:tcBorders>
          </w:tcPr>
          <w:p w14:paraId="36BB6C23">
            <w:pPr>
              <w:widowControl/>
              <w:jc w:val="left"/>
              <w:rPr>
                <w:rFonts w:ascii="Times New Roman" w:hAnsi="Times New Roman"/>
              </w:rPr>
            </w:pPr>
            <w:r>
              <w:rPr>
                <w:rFonts w:hint="eastAsia" w:ascii="Times New Roman" w:hAnsi="Times New Roman" w:cs="宋体"/>
                <w:color w:val="000000"/>
                <w:kern w:val="0"/>
                <w:sz w:val="20"/>
                <w:szCs w:val="20"/>
                <w:lang w:bidi="ar"/>
              </w:rPr>
              <w:t>10%吡虫啉可湿性粉剂</w:t>
            </w:r>
          </w:p>
          <w:p w14:paraId="4F30517B">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3%啶虫脒可湿性粉剂</w:t>
            </w:r>
          </w:p>
        </w:tc>
        <w:tc>
          <w:tcPr>
            <w:tcW w:w="5472" w:type="dxa"/>
            <w:tcBorders>
              <w:top w:val="single" w:color="auto" w:sz="4" w:space="0"/>
              <w:bottom w:val="single" w:color="auto" w:sz="8" w:space="0"/>
            </w:tcBorders>
          </w:tcPr>
          <w:p w14:paraId="0BB2C290">
            <w:pPr>
              <w:widowControl/>
              <w:jc w:val="left"/>
              <w:rPr>
                <w:rFonts w:ascii="Times New Roman" w:hAnsi="Times New Roman"/>
              </w:rPr>
            </w:pPr>
            <w:r>
              <w:rPr>
                <w:rFonts w:hint="eastAsia" w:ascii="Times New Roman" w:hAnsi="Times New Roman" w:cs="宋体"/>
                <w:color w:val="000000"/>
                <w:kern w:val="0"/>
                <w:sz w:val="20"/>
                <w:szCs w:val="20"/>
                <w:lang w:bidi="ar"/>
              </w:rPr>
              <w:t>1 500～2 000倍液喷施，5 ～7 d 喷1次，连续2～3次</w:t>
            </w:r>
          </w:p>
          <w:p w14:paraId="63DED0D9">
            <w:pPr>
              <w:widowControl/>
              <w:jc w:val="left"/>
              <w:rPr>
                <w:rFonts w:ascii="Times New Roman" w:hAnsi="Times New Roman" w:cs="宋体"/>
                <w:color w:val="000000"/>
                <w:kern w:val="0"/>
                <w:sz w:val="20"/>
                <w:szCs w:val="20"/>
                <w:lang w:bidi="ar"/>
              </w:rPr>
            </w:pPr>
            <w:r>
              <w:rPr>
                <w:rFonts w:hint="eastAsia" w:ascii="Times New Roman" w:hAnsi="Times New Roman" w:cs="宋体"/>
                <w:color w:val="000000"/>
                <w:kern w:val="0"/>
                <w:sz w:val="20"/>
                <w:szCs w:val="20"/>
                <w:lang w:bidi="ar"/>
              </w:rPr>
              <w:t>1 000～1 500倍液喷施，5 ～7 d 喷1次，连续2～3次</w:t>
            </w:r>
          </w:p>
        </w:tc>
      </w:tr>
      <w:bookmarkEnd w:id="53"/>
      <w:bookmarkEnd w:id="54"/>
      <w:bookmarkEnd w:id="57"/>
    </w:tbl>
    <w:p w14:paraId="51CBFA7F">
      <w:pPr>
        <w:pStyle w:val="199"/>
        <w:numPr>
          <w:ilvl w:val="0"/>
          <w:numId w:val="0"/>
        </w:numPr>
        <w:jc w:val="both"/>
        <w:rPr>
          <w:rFonts w:ascii="Times New Roman"/>
          <w:vanish w:val="0"/>
        </w:rPr>
      </w:pPr>
      <w:bookmarkStart w:id="58" w:name="_Toc43479113"/>
      <w:bookmarkStart w:id="59" w:name="_Toc42614224"/>
      <w:bookmarkStart w:id="60" w:name="_Toc42615011"/>
      <w:bookmarkStart w:id="61" w:name="_Toc43479124"/>
      <w:r>
        <w:rPr>
          <w:rFonts w:hint="eastAsia" w:ascii="Times New Roman"/>
          <w:lang w:bidi="ar"/>
        </w:rPr>
        <w:t>对甜瓜旱作栽培过程，建立生产档案，保存两年以上，以备查阅。</w:t>
      </w:r>
      <w:bookmarkEnd w:id="25"/>
      <w:bookmarkEnd w:id="46"/>
      <w:bookmarkEnd w:id="47"/>
      <w:bookmarkEnd w:id="58"/>
      <w:bookmarkEnd w:id="59"/>
      <w:bookmarkEnd w:id="60"/>
      <w:bookmarkEnd w:id="61"/>
    </w:p>
    <w:sectPr>
      <w:pgSz w:w="11906" w:h="16838"/>
      <w:pgMar w:top="1871"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9169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9C40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85F0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0DE4F">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2DA2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6899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7DC8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46F50">
    <w:pPr>
      <w:pStyle w:val="64"/>
      <w:rPr>
        <w:rFonts w:hint="eastAsia"/>
      </w:rPr>
    </w:pPr>
    <w:r>
      <w:fldChar w:fldCharType="begin"/>
    </w:r>
    <w:r>
      <w:instrText xml:space="preserve"> STYLEREF  标准文件_文件编号  \* MERGEFORMAT </w:instrText>
    </w:r>
    <w:r>
      <w:fldChar w:fldCharType="separate"/>
    </w:r>
    <w:r>
      <w:t>DB14/T XXXXX—2023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EF444">
    <w:pPr>
      <w:pStyle w:val="18"/>
      <w:jc w:val="right"/>
    </w:pPr>
    <w:r>
      <w:fldChar w:fldCharType="begin"/>
    </w:r>
    <w:r>
      <w:instrText xml:space="preserve"> STYLEREF  标准文件_文件编号  \* MERGEFORMAT </w:instrText>
    </w:r>
    <w:r>
      <w:fldChar w:fldCharType="separate"/>
    </w:r>
    <w:r>
      <w:t>DB14/T XXXXX—2023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hAnsi="等线" w:eastAsia="黑体"/>
        <w:b w:val="0"/>
        <w:i w:val="0"/>
        <w:sz w:val="21"/>
      </w:rPr>
    </w:lvl>
    <w:lvl w:ilvl="2" w:tentative="0">
      <w:start w:val="1"/>
      <w:numFmt w:val="decimal"/>
      <w:pStyle w:val="201"/>
      <w:suff w:val="nothing"/>
      <w:lvlText w:val="%10.%2.%3 "/>
      <w:lvlJc w:val="left"/>
      <w:pPr>
        <w:ind w:left="0" w:firstLine="0"/>
      </w:pPr>
      <w:rPr>
        <w:rFonts w:hint="eastAsia" w:ascii="黑体" w:hAnsi="等线" w:eastAsia="黑体"/>
        <w:b w:val="0"/>
        <w:i w:val="0"/>
        <w:sz w:val="21"/>
      </w:rPr>
    </w:lvl>
    <w:lvl w:ilvl="3" w:tentative="0">
      <w:start w:val="1"/>
      <w:numFmt w:val="decimal"/>
      <w:pStyle w:val="202"/>
      <w:suff w:val="nothing"/>
      <w:lvlText w:val="%10.%2.%3.%4 "/>
      <w:lvlJc w:val="left"/>
      <w:pPr>
        <w:ind w:left="0" w:firstLine="0"/>
      </w:pPr>
      <w:rPr>
        <w:rFonts w:hint="eastAsia" w:ascii="黑体" w:hAnsi="等线" w:eastAsia="黑体"/>
        <w:b w:val="0"/>
        <w:i w:val="0"/>
        <w:sz w:val="21"/>
      </w:rPr>
    </w:lvl>
    <w:lvl w:ilvl="4" w:tentative="0">
      <w:start w:val="1"/>
      <w:numFmt w:val="decimal"/>
      <w:pStyle w:val="203"/>
      <w:suff w:val="nothing"/>
      <w:lvlText w:val="%10.%2.%3.%4.%5 "/>
      <w:lvlJc w:val="left"/>
      <w:pPr>
        <w:ind w:left="0" w:firstLine="0"/>
      </w:pPr>
      <w:rPr>
        <w:rFonts w:hint="eastAsia" w:ascii="黑体" w:hAnsi="等线" w:eastAsia="黑体"/>
        <w:b w:val="0"/>
        <w:i w:val="0"/>
        <w:sz w:val="21"/>
      </w:rPr>
    </w:lvl>
    <w:lvl w:ilvl="5" w:tentative="0">
      <w:start w:val="1"/>
      <w:numFmt w:val="decimal"/>
      <w:pStyle w:val="20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tentative="0">
      <w:start w:val="1"/>
      <w:numFmt w:val="upperLetter"/>
      <w:pStyle w:val="232"/>
      <w:suff w:val="space"/>
      <w:lvlText w:val="%1"/>
      <w:lvlJc w:val="left"/>
      <w:pPr>
        <w:ind w:left="623" w:hanging="425"/>
      </w:pPr>
      <w:rPr>
        <w:rFonts w:hint="eastAsia"/>
      </w:rPr>
    </w:lvl>
    <w:lvl w:ilvl="1" w:tentative="0">
      <w:start w:val="1"/>
      <w:numFmt w:val="decimal"/>
      <w:pStyle w:val="23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zMWQ2MTE4NGY1MjM1MDFmZGVjZWVhZGRjMjQ1MzEifQ=="/>
    <w:docVar w:name="KSO_WPS_MARK_KEY" w:val="d343d232-a49f-4a94-a4bf-72ec89d8212b"/>
  </w:docVars>
  <w:rsids>
    <w:rsidRoot w:val="00AC5C64"/>
    <w:rsid w:val="0000040A"/>
    <w:rsid w:val="00000A94"/>
    <w:rsid w:val="00001972"/>
    <w:rsid w:val="00001D9A"/>
    <w:rsid w:val="00007B3A"/>
    <w:rsid w:val="0001037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99A"/>
    <w:rsid w:val="00047F28"/>
    <w:rsid w:val="000503AA"/>
    <w:rsid w:val="000506A1"/>
    <w:rsid w:val="000515DD"/>
    <w:rsid w:val="0005265A"/>
    <w:rsid w:val="000539DD"/>
    <w:rsid w:val="00053BD3"/>
    <w:rsid w:val="000556ED"/>
    <w:rsid w:val="00055FE2"/>
    <w:rsid w:val="0005616F"/>
    <w:rsid w:val="00057A0B"/>
    <w:rsid w:val="00060C2E"/>
    <w:rsid w:val="00061033"/>
    <w:rsid w:val="000619E9"/>
    <w:rsid w:val="000622D4"/>
    <w:rsid w:val="0006357D"/>
    <w:rsid w:val="00067F1E"/>
    <w:rsid w:val="00071CC0"/>
    <w:rsid w:val="00073C8C"/>
    <w:rsid w:val="00077B64"/>
    <w:rsid w:val="00080A1C"/>
    <w:rsid w:val="00082317"/>
    <w:rsid w:val="00083D2C"/>
    <w:rsid w:val="00085075"/>
    <w:rsid w:val="00086AA1"/>
    <w:rsid w:val="00087A77"/>
    <w:rsid w:val="00090CA6"/>
    <w:rsid w:val="00092B8A"/>
    <w:rsid w:val="00092FB0"/>
    <w:rsid w:val="000934C5"/>
    <w:rsid w:val="00093D25"/>
    <w:rsid w:val="00093DAB"/>
    <w:rsid w:val="00094D73"/>
    <w:rsid w:val="00096D63"/>
    <w:rsid w:val="000A0B60"/>
    <w:rsid w:val="000A0EB8"/>
    <w:rsid w:val="000A19FC"/>
    <w:rsid w:val="000A2456"/>
    <w:rsid w:val="000A296B"/>
    <w:rsid w:val="000A7311"/>
    <w:rsid w:val="000B060F"/>
    <w:rsid w:val="000B1592"/>
    <w:rsid w:val="000B1FF2"/>
    <w:rsid w:val="000B3CDA"/>
    <w:rsid w:val="000B6A0B"/>
    <w:rsid w:val="000B6A5E"/>
    <w:rsid w:val="000C002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4865"/>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447"/>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7BD"/>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8F5"/>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839"/>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A6D"/>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3F7"/>
    <w:rsid w:val="0041477A"/>
    <w:rsid w:val="0041569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40D"/>
    <w:rsid w:val="004746B1"/>
    <w:rsid w:val="0047583F"/>
    <w:rsid w:val="00475DE8"/>
    <w:rsid w:val="00481C44"/>
    <w:rsid w:val="00484936"/>
    <w:rsid w:val="00485C89"/>
    <w:rsid w:val="00486BE3"/>
    <w:rsid w:val="004905E4"/>
    <w:rsid w:val="00490A89"/>
    <w:rsid w:val="00490AB4"/>
    <w:rsid w:val="0049112C"/>
    <w:rsid w:val="00492F02"/>
    <w:rsid w:val="004939AE"/>
    <w:rsid w:val="004A12DF"/>
    <w:rsid w:val="004A1BA8"/>
    <w:rsid w:val="004A4B57"/>
    <w:rsid w:val="004A63FA"/>
    <w:rsid w:val="004B0272"/>
    <w:rsid w:val="004B2701"/>
    <w:rsid w:val="004B2E1B"/>
    <w:rsid w:val="004B2F0F"/>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D7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6C4"/>
    <w:rsid w:val="005479DA"/>
    <w:rsid w:val="00547BCC"/>
    <w:rsid w:val="0055013B"/>
    <w:rsid w:val="00551F6F"/>
    <w:rsid w:val="00555044"/>
    <w:rsid w:val="00561475"/>
    <w:rsid w:val="0056487B"/>
    <w:rsid w:val="00564FB9"/>
    <w:rsid w:val="00573D9E"/>
    <w:rsid w:val="005801E3"/>
    <w:rsid w:val="00581802"/>
    <w:rsid w:val="0058264B"/>
    <w:rsid w:val="00582A44"/>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74A3"/>
    <w:rsid w:val="006015CE"/>
    <w:rsid w:val="00604784"/>
    <w:rsid w:val="00606419"/>
    <w:rsid w:val="00607D29"/>
    <w:rsid w:val="00612952"/>
    <w:rsid w:val="00614CC1"/>
    <w:rsid w:val="00615A9D"/>
    <w:rsid w:val="00617387"/>
    <w:rsid w:val="006205D6"/>
    <w:rsid w:val="006249A2"/>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E5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8F3"/>
    <w:rsid w:val="006B5F44"/>
    <w:rsid w:val="006B5F90"/>
    <w:rsid w:val="006B62E4"/>
    <w:rsid w:val="006C1BBA"/>
    <w:rsid w:val="006C2079"/>
    <w:rsid w:val="006C5A62"/>
    <w:rsid w:val="006C5D68"/>
    <w:rsid w:val="006C6976"/>
    <w:rsid w:val="006C6DD0"/>
    <w:rsid w:val="006D04EA"/>
    <w:rsid w:val="006D16C4"/>
    <w:rsid w:val="006D1989"/>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F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8ED"/>
    <w:rsid w:val="00765C43"/>
    <w:rsid w:val="00765EFB"/>
    <w:rsid w:val="007671CA"/>
    <w:rsid w:val="00767C61"/>
    <w:rsid w:val="0077008A"/>
    <w:rsid w:val="00773C1F"/>
    <w:rsid w:val="00774DA4"/>
    <w:rsid w:val="00776599"/>
    <w:rsid w:val="0078114B"/>
    <w:rsid w:val="00781DD2"/>
    <w:rsid w:val="00783ECF"/>
    <w:rsid w:val="0078413A"/>
    <w:rsid w:val="0079264E"/>
    <w:rsid w:val="007959E8"/>
    <w:rsid w:val="00795E9C"/>
    <w:rsid w:val="007A0521"/>
    <w:rsid w:val="007A2E12"/>
    <w:rsid w:val="007A3475"/>
    <w:rsid w:val="007A41C8"/>
    <w:rsid w:val="007A54CE"/>
    <w:rsid w:val="007A6FD9"/>
    <w:rsid w:val="007A7FFA"/>
    <w:rsid w:val="007B04EB"/>
    <w:rsid w:val="007B0D4F"/>
    <w:rsid w:val="007B5A3D"/>
    <w:rsid w:val="007B5B95"/>
    <w:rsid w:val="007B5E9C"/>
    <w:rsid w:val="007B68EA"/>
    <w:rsid w:val="007B7453"/>
    <w:rsid w:val="007B7E2E"/>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69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EE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282"/>
    <w:rsid w:val="00896DFF"/>
    <w:rsid w:val="0089762C"/>
    <w:rsid w:val="008A1893"/>
    <w:rsid w:val="008A1D2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8EA"/>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84B"/>
    <w:rsid w:val="009728AA"/>
    <w:rsid w:val="00977010"/>
    <w:rsid w:val="00977D02"/>
    <w:rsid w:val="009809BB"/>
    <w:rsid w:val="0098364B"/>
    <w:rsid w:val="00986A58"/>
    <w:rsid w:val="009911AF"/>
    <w:rsid w:val="00991875"/>
    <w:rsid w:val="00991F92"/>
    <w:rsid w:val="00992985"/>
    <w:rsid w:val="00993889"/>
    <w:rsid w:val="0099551B"/>
    <w:rsid w:val="00997BF1"/>
    <w:rsid w:val="009A089C"/>
    <w:rsid w:val="009A0DAB"/>
    <w:rsid w:val="009A118E"/>
    <w:rsid w:val="009A148E"/>
    <w:rsid w:val="009A21CD"/>
    <w:rsid w:val="009A278C"/>
    <w:rsid w:val="009A2BC2"/>
    <w:rsid w:val="009A42C1"/>
    <w:rsid w:val="009A5429"/>
    <w:rsid w:val="009A72AD"/>
    <w:rsid w:val="009B09E0"/>
    <w:rsid w:val="009B0BC5"/>
    <w:rsid w:val="009B1247"/>
    <w:rsid w:val="009B6029"/>
    <w:rsid w:val="009B6971"/>
    <w:rsid w:val="009C27F1"/>
    <w:rsid w:val="009C3152"/>
    <w:rsid w:val="009C4618"/>
    <w:rsid w:val="009C4CFA"/>
    <w:rsid w:val="009C5070"/>
    <w:rsid w:val="009D112C"/>
    <w:rsid w:val="009D47FA"/>
    <w:rsid w:val="009D4C5B"/>
    <w:rsid w:val="009D50D2"/>
    <w:rsid w:val="009D6BCA"/>
    <w:rsid w:val="009E0F62"/>
    <w:rsid w:val="009E4A58"/>
    <w:rsid w:val="009E50D1"/>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5C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C64"/>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105"/>
    <w:rsid w:val="00C21540"/>
    <w:rsid w:val="00C21906"/>
    <w:rsid w:val="00C21BFA"/>
    <w:rsid w:val="00C22148"/>
    <w:rsid w:val="00C23513"/>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074"/>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A3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23F"/>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03F"/>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414E"/>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7EC"/>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708"/>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C6163"/>
    <w:rsid w:val="00EC646E"/>
    <w:rsid w:val="00ED067A"/>
    <w:rsid w:val="00ED2B50"/>
    <w:rsid w:val="00EE0350"/>
    <w:rsid w:val="00EE0719"/>
    <w:rsid w:val="00EE0E80"/>
    <w:rsid w:val="00EE613F"/>
    <w:rsid w:val="00EE7295"/>
    <w:rsid w:val="00EE7869"/>
    <w:rsid w:val="00EF054A"/>
    <w:rsid w:val="00EF3235"/>
    <w:rsid w:val="00EF50D6"/>
    <w:rsid w:val="00EF705B"/>
    <w:rsid w:val="00EF7E72"/>
    <w:rsid w:val="00F05ACC"/>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AF0"/>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E8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EC5249"/>
    <w:rsid w:val="1A2A5E20"/>
    <w:rsid w:val="26457F12"/>
    <w:rsid w:val="3B89081C"/>
    <w:rsid w:val="407916AB"/>
    <w:rsid w:val="41B44989"/>
    <w:rsid w:val="42562FCA"/>
    <w:rsid w:val="457D3280"/>
    <w:rsid w:val="4DDE337C"/>
    <w:rsid w:val="52BF2FD2"/>
    <w:rsid w:val="54401660"/>
    <w:rsid w:val="558031A1"/>
    <w:rsid w:val="646552D0"/>
    <w:rsid w:val="64E6222B"/>
    <w:rsid w:val="66F84B85"/>
    <w:rsid w:val="6F117D7C"/>
    <w:rsid w:val="789B1453"/>
    <w:rsid w:val="7AFD5059"/>
    <w:rsid w:val="7C65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正文文本 字符"/>
    <w:link w:val="13"/>
    <w:qFormat/>
    <w:uiPriority w:val="0"/>
    <w:rPr>
      <w:rFonts w:ascii="Times New Roman" w:hAnsi="Times New Roman" w:eastAsia="宋体" w:cs="Times New Roman"/>
      <w:szCs w:val="20"/>
    </w:rPr>
  </w:style>
  <w:style w:type="character" w:customStyle="1" w:styleId="44">
    <w:name w:val="批注框文本 字符"/>
    <w:link w:val="16"/>
    <w:semiHidden/>
    <w:qFormat/>
    <w:uiPriority w:val="99"/>
    <w:rPr>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页眉 字符"/>
    <w:link w:val="18"/>
    <w:qFormat/>
    <w:uiPriority w:val="99"/>
    <w:rPr>
      <w:rFonts w:ascii="Times New Roman" w:hAnsi="Times New Roman" w:eastAsia="宋体" w:cs="Times New Roman"/>
      <w:sz w:val="18"/>
      <w:szCs w:val="18"/>
    </w:rPr>
  </w:style>
  <w:style w:type="character" w:customStyle="1" w:styleId="47">
    <w:name w:val="脚注文本 字符"/>
    <w:link w:val="21"/>
    <w:semiHidden/>
    <w:qFormat/>
    <w:uiPriority w:val="0"/>
    <w:rPr>
      <w:rFonts w:ascii="宋体" w:hAnsi="Times New Roman" w:eastAsia="宋体" w:cs="Times New Roman"/>
      <w:sz w:val="18"/>
      <w:szCs w:val="18"/>
    </w:rPr>
  </w:style>
  <w:style w:type="character" w:customStyle="1" w:styleId="48">
    <w:name w:val="标题 字符"/>
    <w:link w:val="25"/>
    <w:qFormat/>
    <w:uiPriority w:val="0"/>
    <w:rPr>
      <w:rFonts w:ascii="Arial" w:hAnsi="Arial" w:eastAsia="宋体" w:cs="Arial"/>
      <w:b/>
      <w:bCs/>
      <w:sz w:val="32"/>
      <w:szCs w:val="32"/>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5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9">
    <w:name w:val="标准文件_段 Char"/>
    <w:link w:val="58"/>
    <w:qFormat/>
    <w:uiPriority w:val="0"/>
    <w:rPr>
      <w:rFonts w:ascii="宋体" w:hAnsi="Times New Roman"/>
      <w:sz w:val="21"/>
    </w:rPr>
  </w:style>
  <w:style w:type="paragraph" w:customStyle="1" w:styleId="60">
    <w:name w:val="标准文件_版本"/>
    <w:basedOn w:val="57"/>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8"/>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8"/>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8"/>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8"/>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8"/>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8"/>
    <w:qFormat/>
    <w:uiPriority w:val="0"/>
    <w:pPr>
      <w:outlineLvl w:val="4"/>
    </w:pPr>
  </w:style>
  <w:style w:type="paragraph" w:customStyle="1" w:styleId="131">
    <w:name w:val="附录四级无标题条"/>
    <w:basedOn w:val="130"/>
    <w:next w:val="58"/>
    <w:qFormat/>
    <w:uiPriority w:val="0"/>
    <w:pPr>
      <w:outlineLvl w:val="5"/>
    </w:pPr>
  </w:style>
  <w:style w:type="paragraph" w:customStyle="1" w:styleId="132">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8"/>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9"/>
    <w:next w:val="58"/>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8"/>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8"/>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6"/>
    <w:qFormat/>
    <w:uiPriority w:val="0"/>
    <w:pPr>
      <w:spacing w:before="0" w:beforeLines="0" w:after="0" w:afterLines="0"/>
      <w:outlineLvl w:val="9"/>
    </w:pPr>
    <w:rPr>
      <w:rFonts w:ascii="宋体" w:eastAsia="宋体"/>
    </w:rPr>
  </w:style>
  <w:style w:type="paragraph" w:customStyle="1" w:styleId="166">
    <w:name w:val="标准文件_二级无标题"/>
    <w:basedOn w:val="68"/>
    <w:qFormat/>
    <w:uiPriority w:val="0"/>
    <w:pPr>
      <w:spacing w:before="0" w:beforeLines="0" w:after="0" w:afterLines="0"/>
      <w:outlineLvl w:val="9"/>
    </w:pPr>
    <w:rPr>
      <w:rFonts w:ascii="宋体" w:eastAsia="宋体"/>
    </w:rPr>
  </w:style>
  <w:style w:type="paragraph" w:customStyle="1" w:styleId="167">
    <w:name w:val="标准_四级无标题"/>
    <w:basedOn w:val="100"/>
    <w:next w:val="58"/>
    <w:qFormat/>
    <w:uiPriority w:val="0"/>
    <w:rPr>
      <w:rFonts w:eastAsia="宋体"/>
    </w:rPr>
  </w:style>
  <w:style w:type="paragraph" w:customStyle="1" w:styleId="168">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8"/>
    <w:qFormat/>
    <w:uiPriority w:val="0"/>
    <w:pPr>
      <w:numPr>
        <w:ilvl w:val="0"/>
        <w:numId w:val="24"/>
      </w:numPr>
      <w:ind w:firstLine="0" w:firstLineChars="0"/>
    </w:pPr>
    <w:rPr>
      <w:rFonts w:cs="Arial"/>
      <w:szCs w:val="28"/>
    </w:rPr>
  </w:style>
  <w:style w:type="paragraph" w:customStyle="1" w:styleId="171">
    <w:name w:val="标准文件_附录标题"/>
    <w:basedOn w:val="79"/>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300" w:lineRule="exact"/>
    </w:pPr>
    <w:rPr>
      <w:rFonts w:ascii="Times New Roman" w:hAnsi="Times New Roman"/>
    </w:rPr>
  </w:style>
  <w:style w:type="paragraph" w:customStyle="1" w:styleId="174">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8"/>
    <w:qFormat/>
    <w:uiPriority w:val="0"/>
    <w:pPr>
      <w:ind w:firstLine="0" w:firstLineChars="0"/>
      <w:jc w:val="center"/>
    </w:pPr>
    <w:rPr>
      <w:sz w:val="18"/>
    </w:rPr>
  </w:style>
  <w:style w:type="paragraph" w:customStyle="1" w:styleId="180">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8"/>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5">
    <w:name w:val="标准文件_表格续"/>
    <w:basedOn w:val="58"/>
    <w:next w:val="58"/>
    <w:qFormat/>
    <w:uiPriority w:val="0"/>
    <w:pPr>
      <w:jc w:val="center"/>
    </w:pPr>
    <w:rPr>
      <w:rFonts w:ascii="黑体" w:hAnsi="黑体" w:eastAsia="黑体"/>
    </w:rPr>
  </w:style>
  <w:style w:type="character" w:styleId="186">
    <w:name w:val="Placeholder Text"/>
    <w:semiHidden/>
    <w:qFormat/>
    <w:uiPriority w:val="99"/>
    <w:rPr>
      <w:color w:val="808080"/>
    </w:rPr>
  </w:style>
  <w:style w:type="paragraph" w:customStyle="1" w:styleId="187">
    <w:name w:val="标准文件_二级项2"/>
    <w:basedOn w:val="58"/>
    <w:qFormat/>
    <w:uiPriority w:val="0"/>
    <w:pPr>
      <w:numPr>
        <w:ilvl w:val="1"/>
        <w:numId w:val="21"/>
      </w:numPr>
      <w:ind w:left="1271" w:hanging="420" w:firstLineChars="0"/>
    </w:pPr>
  </w:style>
  <w:style w:type="paragraph" w:customStyle="1" w:styleId="188">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8"/>
    <w:next w:val="58"/>
    <w:qFormat/>
    <w:uiPriority w:val="0"/>
    <w:pPr>
      <w:ind w:firstLine="420"/>
    </w:pPr>
    <w:rPr>
      <w:rFonts w:ascii="黑体" w:eastAsia="黑体"/>
    </w:rPr>
  </w:style>
  <w:style w:type="character" w:customStyle="1" w:styleId="191">
    <w:name w:val="标准文件_来源"/>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qFormat/>
    <w:uiPriority w:val="0"/>
    <w:pPr>
      <w:framePr w:w="3997" w:h="471" w:hRule="exact" w:hSpace="0" w:vSpace="181" w:wrap="around" w:vAnchor="page" w:hAnchor="page" w:x="1419" w:y="14097"/>
    </w:pPr>
  </w:style>
  <w:style w:type="paragraph" w:customStyle="1" w:styleId="194">
    <w:name w:val="其他实施日期"/>
    <w:basedOn w:val="155"/>
    <w:qFormat/>
    <w:uiPriority w:val="0"/>
    <w:pPr>
      <w:framePr w:w="3997" w:h="471" w:hRule="exact" w:vSpace="181" w:wrap="around" w:vAnchor="page" w:hAnchor="page" w:x="7089" w:y="14097"/>
    </w:pPr>
  </w:style>
  <w:style w:type="paragraph" w:customStyle="1" w:styleId="195">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8"/>
    <w:qFormat/>
    <w:uiPriority w:val="0"/>
    <w:pPr>
      <w:ind w:left="811" w:firstLine="0" w:firstLineChars="0"/>
    </w:pPr>
    <w:rPr>
      <w:sz w:val="18"/>
    </w:rPr>
  </w:style>
  <w:style w:type="paragraph" w:customStyle="1" w:styleId="206">
    <w:name w:val="标准文件_注X后"/>
    <w:basedOn w:val="58"/>
    <w:qFormat/>
    <w:uiPriority w:val="0"/>
    <w:pPr>
      <w:ind w:left="811" w:firstLine="0" w:firstLineChars="0"/>
    </w:pPr>
    <w:rPr>
      <w:sz w:val="18"/>
    </w:rPr>
  </w:style>
  <w:style w:type="paragraph" w:customStyle="1" w:styleId="207">
    <w:name w:val="标准文件_示例后"/>
    <w:basedOn w:val="58"/>
    <w:qFormat/>
    <w:uiPriority w:val="0"/>
    <w:pPr>
      <w:ind w:left="964" w:firstLine="0" w:firstLineChars="0"/>
    </w:pPr>
    <w:rPr>
      <w:sz w:val="18"/>
    </w:rPr>
  </w:style>
  <w:style w:type="paragraph" w:customStyle="1" w:styleId="208">
    <w:name w:val="标准文件_示例X后"/>
    <w:basedOn w:val="58"/>
    <w:link w:val="209"/>
    <w:qFormat/>
    <w:uiPriority w:val="0"/>
    <w:pPr>
      <w:ind w:left="1049" w:firstLine="0" w:firstLineChars="0"/>
    </w:pPr>
    <w:rPr>
      <w:sz w:val="18"/>
    </w:rPr>
  </w:style>
  <w:style w:type="character" w:customStyle="1" w:styleId="209">
    <w:name w:val="标准文件_示例X后 字符"/>
    <w:link w:val="208"/>
    <w:qFormat/>
    <w:uiPriority w:val="0"/>
    <w:rPr>
      <w:rFonts w:ascii="宋体" w:hAnsi="Times New Roman"/>
      <w:sz w:val="18"/>
    </w:rPr>
  </w:style>
  <w:style w:type="paragraph" w:customStyle="1" w:styleId="210">
    <w:name w:val="标准文件_索引项"/>
    <w:basedOn w:val="58"/>
    <w:next w:val="58"/>
    <w:qFormat/>
    <w:uiPriority w:val="0"/>
    <w:pPr>
      <w:tabs>
        <w:tab w:val="right" w:leader="dot" w:pos="9356"/>
      </w:tabs>
      <w:ind w:left="210" w:hanging="210" w:firstLineChars="0"/>
      <w:jc w:val="left"/>
    </w:pPr>
  </w:style>
  <w:style w:type="paragraph" w:customStyle="1" w:styleId="211">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8"/>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8"/>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索引标题"/>
    <w:basedOn w:val="66"/>
    <w:next w:val="58"/>
    <w:qFormat/>
    <w:uiPriority w:val="0"/>
    <w:rPr>
      <w:rFonts w:hAnsi="黑体"/>
    </w:rPr>
  </w:style>
  <w:style w:type="paragraph" w:customStyle="1" w:styleId="222">
    <w:name w:val="标准文件_脚注内容"/>
    <w:basedOn w:val="58"/>
    <w:qFormat/>
    <w:uiPriority w:val="0"/>
    <w:pPr>
      <w:ind w:left="400" w:leftChars="200" w:hanging="200" w:hangingChars="200"/>
    </w:pPr>
    <w:rPr>
      <w:sz w:val="15"/>
    </w:rPr>
  </w:style>
  <w:style w:type="paragraph" w:customStyle="1" w:styleId="223">
    <w:name w:val="标准文件_术语条一"/>
    <w:basedOn w:val="163"/>
    <w:next w:val="58"/>
    <w:qFormat/>
    <w:uiPriority w:val="0"/>
  </w:style>
  <w:style w:type="paragraph" w:customStyle="1" w:styleId="224">
    <w:name w:val="标准文件_术语条二"/>
    <w:basedOn w:val="166"/>
    <w:next w:val="58"/>
    <w:qFormat/>
    <w:uiPriority w:val="0"/>
  </w:style>
  <w:style w:type="paragraph" w:customStyle="1" w:styleId="225">
    <w:name w:val="标准文件_术语条三"/>
    <w:basedOn w:val="165"/>
    <w:next w:val="58"/>
    <w:qFormat/>
    <w:uiPriority w:val="0"/>
  </w:style>
  <w:style w:type="paragraph" w:customStyle="1" w:styleId="226">
    <w:name w:val="标准文件_术语条四"/>
    <w:basedOn w:val="168"/>
    <w:next w:val="58"/>
    <w:qFormat/>
    <w:uiPriority w:val="0"/>
  </w:style>
  <w:style w:type="paragraph" w:customStyle="1" w:styleId="227">
    <w:name w:val="标准文件_术语条五"/>
    <w:basedOn w:val="164"/>
    <w:next w:val="58"/>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附录图标号"/>
    <w:basedOn w:val="1"/>
    <w:qFormat/>
    <w:uiPriority w:val="0"/>
    <w:pPr>
      <w:keepNext/>
      <w:pageBreakBefore/>
      <w:widowControl/>
      <w:numPr>
        <w:ilvl w:val="0"/>
        <w:numId w:val="32"/>
      </w:numPr>
      <w:adjustRightInd/>
      <w:spacing w:line="14" w:lineRule="exact"/>
      <w:ind w:left="0" w:firstLine="363"/>
      <w:jc w:val="center"/>
      <w:outlineLvl w:val="0"/>
    </w:pPr>
    <w:rPr>
      <w:rFonts w:ascii="Times New Roman" w:hAnsi="Times New Roman"/>
      <w:color w:val="FFFFFF"/>
      <w:szCs w:val="24"/>
    </w:rPr>
  </w:style>
  <w:style w:type="paragraph" w:customStyle="1" w:styleId="233">
    <w:name w:val="附录图标题"/>
    <w:basedOn w:val="1"/>
    <w:next w:val="230"/>
    <w:qFormat/>
    <w:uiPriority w:val="0"/>
    <w:pPr>
      <w:numPr>
        <w:ilvl w:val="1"/>
        <w:numId w:val="32"/>
      </w:numPr>
      <w:tabs>
        <w:tab w:val="left" w:pos="363"/>
      </w:tabs>
      <w:adjustRightInd/>
      <w:spacing w:before="50" w:beforeLines="50" w:after="50" w:afterLines="50" w:line="240" w:lineRule="auto"/>
      <w:ind w:left="0" w:firstLine="0"/>
      <w:jc w:val="center"/>
    </w:pPr>
    <w:rPr>
      <w:rFonts w:ascii="黑体" w:hAnsi="Times New Roman" w:eastAsia="黑体"/>
    </w:rPr>
  </w:style>
  <w:style w:type="paragraph" w:customStyle="1" w:styleId="234">
    <w:name w:val="一级条标题"/>
    <w:next w:val="230"/>
    <w:qFormat/>
    <w:uiPriority w:val="0"/>
    <w:pPr>
      <w:numPr>
        <w:ilvl w:val="1"/>
        <w:numId w:val="3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B69B1-9D98-4B54-9E1D-D0F96475E71D}">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3000</Words>
  <Characters>3594</Characters>
  <Lines>37</Lines>
  <Paragraphs>10</Paragraphs>
  <TotalTime>18</TotalTime>
  <ScaleCrop>false</ScaleCrop>
  <LinksUpToDate>false</LinksUpToDate>
  <CharactersWithSpaces>3912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2024-10-24T06:59:00Z</dcterms:created>
  <dc:creator>lenovo</dc:creator>
  <dc:description>&lt;config cover="true" show_menu="true" version="1.0.0" doctype="SDKXY"&gt;_x005f_x000d_
&lt;/config&gt;</dc:description>
  <cp:lastModifiedBy>奥特曼斑斑 </cp:lastModifiedBy>
  <cp:lastPrinted>2024-10-24T07:25:00Z</cp:lastPrinted>
  <dcterms:modified xsi:type="dcterms:W3CDTF">2024-10-24T22:54:37Z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7264CB9523C64985A2A05305ABE4D34E_13</vt:lpwstr>
  </property>
</Properties>
</file>